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Drilling Tools International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Sammons Capital,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2,512,366.00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2,512,366.00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2,512,366.00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Drilling Tools International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10370 Richmond Ave., #1000, Houston, Texas 77042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Sammons Capital,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5949 Sherry Lane, Suite 1900, Dallas, Texas 75225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and is incorporated herein by reference. Ownership percentage is based on 35,139,094 shares of the Issuer's Common Stock outstanding as of May 3, 2026, as reported by the Issuer in its Quarterly Report on Form 10-Q filed with the Securities and Exchange Commission on May 8, 2026.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Sammons Capital, Inc.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Yolanda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Yolanda Brown/Vice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877</Words>
  <Characters>4470</Characters>
  <CharactersWithSpaces>5338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