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527484ds8.htm"/>
      <w:bookmarkStart w:id="1" w:name="ksd527484ds8"/>
      <w:bookmarkEnd w:id="0"/>
      <w:bookmarkEnd w:id="1"/>
      <w:r>
        <w:rPr>
          <w:rFonts w:ascii="Times New Roman" w:hAnsi="Times New Roman"/>
          <w:b/>
          <w:sz w:val="20"/>
        </w:rPr>
        <w:t xml:space="preserve">As filed with the Securities and Exchange Commission on August 28, 2023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DRILLING TOOLS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20"/>
              </w:rPr>
            </w:pPr>
            <w:r>
              <w:rPr>
                <w:rFonts w:ascii="Times New Roman" w:hAnsi="Times New Roman"/>
                <w:b/>
                <w:sz w:val="20"/>
              </w:rPr>
              <w:t>3701 Briarpark Drive</w:t>
            </w:r>
          </w:p>
          <w:p>
            <w:pPr>
              <w:pStyle w:val="TableContents"/>
              <w:bidi w:val="0"/>
              <w:spacing w:before="0" w:after="0"/>
              <w:jc w:val="center"/>
              <w:rPr>
                <w:rFonts w:ascii="Times New Roman" w:hAnsi="Times New Roman"/>
                <w:b/>
                <w:sz w:val="20"/>
              </w:rPr>
            </w:pPr>
            <w:r>
              <w:rPr>
                <w:rFonts w:ascii="Times New Roman" w:hAnsi="Times New Roman"/>
                <w:b/>
                <w:sz w:val="20"/>
              </w:rPr>
              <w:t>Suite 150</w:t>
            </w:r>
          </w:p>
          <w:p>
            <w:pPr>
              <w:pStyle w:val="TableContents"/>
              <w:bidi w:val="0"/>
              <w:spacing w:before="0" w:after="20"/>
              <w:jc w:val="center"/>
              <w:rPr>
                <w:rFonts w:ascii="Times New Roman" w:hAnsi="Times New Roman"/>
                <w:b/>
                <w:sz w:val="20"/>
              </w:rPr>
            </w:pPr>
            <w:r>
              <w:rPr>
                <w:rFonts w:ascii="Times New Roman" w:hAnsi="Times New Roman"/>
                <w:b/>
                <w:sz w:val="20"/>
              </w:rPr>
              <w:t>Houston, Texas 77042</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87-2488708</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(Address, including zip code, of Principal</w:t>
            </w:r>
          </w:p>
          <w:p>
            <w:pPr>
              <w:pStyle w:val="TableContents"/>
              <w:bidi w:val="0"/>
              <w:spacing w:before="0" w:after="20"/>
              <w:jc w:val="center"/>
              <w:rPr>
                <w:rFonts w:ascii="Times New Roman" w:hAnsi="Times New Roman"/>
                <w:b/>
                <w:sz w:val="16"/>
              </w:rPr>
            </w:pPr>
            <w:r>
              <w:rPr>
                <w:rFonts w:ascii="Times New Roman" w:hAnsi="Times New Roman"/>
                <w:b/>
                <w:sz w:val="16"/>
              </w:rPr>
              <w:t>Executive Offices)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rHeight w:val="195" w:hRule="atLeast"/>
        </w:trPr>
        <w:tc>
          <w:tcPr>
            <w:tcW w:w="3469"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Drilling Tools International Corporation 2023 Omnibus Incentive Plan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R. Wayne Prejean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3701 Briarpark Drive </w:t>
      </w:r>
    </w:p>
    <w:p>
      <w:pPr>
        <w:pStyle w:val="TextBody"/>
        <w:bidi w:val="0"/>
        <w:spacing w:before="0" w:after="0"/>
        <w:jc w:val="center"/>
        <w:rPr>
          <w:rFonts w:ascii="Times New Roman" w:hAnsi="Times New Roman"/>
          <w:b/>
          <w:sz w:val="20"/>
        </w:rPr>
      </w:pPr>
      <w:r>
        <w:rPr>
          <w:rFonts w:ascii="Times New Roman" w:hAnsi="Times New Roman"/>
          <w:b/>
          <w:sz w:val="20"/>
        </w:rPr>
        <w:t xml:space="preserve">Suite 150 </w:t>
      </w:r>
    </w:p>
    <w:p>
      <w:pPr>
        <w:pStyle w:val="TextBody"/>
        <w:bidi w:val="0"/>
        <w:spacing w:before="0" w:after="0"/>
        <w:jc w:val="center"/>
        <w:rPr>
          <w:rFonts w:ascii="Times New Roman" w:hAnsi="Times New Roman"/>
          <w:b/>
          <w:sz w:val="20"/>
        </w:rPr>
      </w:pPr>
      <w:r>
        <w:rPr>
          <w:rFonts w:ascii="Times New Roman" w:hAnsi="Times New Roman"/>
          <w:b/>
          <w:sz w:val="20"/>
        </w:rPr>
        <w:t xml:space="preserve">Houston, Texas 77042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(832) 742-8500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80" w:after="0"/>
        <w:jc w:val="center"/>
        <w:rPr>
          <w:rFonts w:ascii="Times New Roman" w:hAnsi="Times New Roman"/>
          <w:b/>
          <w:sz w:val="20"/>
        </w:rPr>
      </w:pPr>
      <w:r>
        <w:rPr>
          <w:rFonts w:ascii="Times New Roman" w:hAnsi="Times New Roman"/>
          <w:b/>
          <w:sz w:val="20"/>
        </w:rPr>
        <w:t xml:space="preserve">William S. Anderson </w:t>
      </w:r>
    </w:p>
    <w:p>
      <w:pPr>
        <w:pStyle w:val="TextBody"/>
        <w:bidi w:val="0"/>
        <w:spacing w:before="0" w:after="0"/>
        <w:jc w:val="center"/>
        <w:rPr>
          <w:rFonts w:ascii="Times New Roman" w:hAnsi="Times New Roman"/>
          <w:b/>
          <w:sz w:val="20"/>
        </w:rPr>
      </w:pPr>
      <w:r>
        <w:rPr>
          <w:rFonts w:ascii="Times New Roman" w:hAnsi="Times New Roman"/>
          <w:b/>
          <w:sz w:val="20"/>
        </w:rPr>
        <w:t xml:space="preserve">Troy L. Harder </w:t>
      </w:r>
    </w:p>
    <w:p>
      <w:pPr>
        <w:pStyle w:val="TextBody"/>
        <w:bidi w:val="0"/>
        <w:spacing w:before="0" w:after="0"/>
        <w:jc w:val="center"/>
        <w:rPr>
          <w:rFonts w:ascii="Times New Roman" w:hAnsi="Times New Roman"/>
          <w:b/>
          <w:sz w:val="20"/>
        </w:rPr>
      </w:pPr>
      <w:r>
        <w:rPr>
          <w:rFonts w:ascii="Times New Roman" w:hAnsi="Times New Roman"/>
          <w:b/>
          <w:sz w:val="20"/>
        </w:rPr>
        <w:t xml:space="preserve">Benjamin J. Martin </w:t>
      </w:r>
    </w:p>
    <w:p>
      <w:pPr>
        <w:pStyle w:val="TextBody"/>
        <w:bidi w:val="0"/>
        <w:spacing w:before="0" w:after="0"/>
        <w:jc w:val="center"/>
        <w:rPr>
          <w:rFonts w:ascii="Times New Roman" w:hAnsi="Times New Roman"/>
          <w:b/>
          <w:sz w:val="20"/>
        </w:rPr>
      </w:pPr>
      <w:r>
        <w:rPr>
          <w:rFonts w:ascii="Times New Roman" w:hAnsi="Times New Roman"/>
          <w:b/>
          <w:sz w:val="20"/>
        </w:rPr>
        <w:t xml:space="preserve">Bracewell LLP </w:t>
      </w:r>
    </w:p>
    <w:p>
      <w:pPr>
        <w:pStyle w:val="TextBody"/>
        <w:bidi w:val="0"/>
        <w:spacing w:before="0" w:after="0"/>
        <w:jc w:val="center"/>
        <w:rPr>
          <w:rFonts w:ascii="Times New Roman" w:hAnsi="Times New Roman"/>
          <w:b/>
          <w:sz w:val="20"/>
        </w:rPr>
      </w:pPr>
      <w:r>
        <w:rPr>
          <w:rFonts w:ascii="Times New Roman" w:hAnsi="Times New Roman"/>
          <w:b/>
          <w:sz w:val="20"/>
        </w:rPr>
        <w:t xml:space="preserve">711 Louisiana Street, Suite 2300 </w:t>
      </w:r>
    </w:p>
    <w:p>
      <w:pPr>
        <w:pStyle w:val="TextBody"/>
        <w:bidi w:val="0"/>
        <w:spacing w:before="0" w:after="0"/>
        <w:jc w:val="center"/>
        <w:rPr>
          <w:rFonts w:ascii="Times New Roman" w:hAnsi="Times New Roman"/>
          <w:b/>
          <w:sz w:val="20"/>
        </w:rPr>
      </w:pPr>
      <w:r>
        <w:rPr>
          <w:rFonts w:ascii="Times New Roman" w:hAnsi="Times New Roman"/>
          <w:b/>
          <w:sz w:val="20"/>
        </w:rPr>
        <w:t xml:space="preserve">Houston, Texas 77002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(713) 223-2300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8"/>
        <w:gridCol w:w="102"/>
        <w:gridCol w:w="4398"/>
        <w:gridCol w:w="126"/>
        <w:gridCol w:w="2607"/>
        <w:gridCol w:w="102"/>
        <w:gridCol w:w="252"/>
      </w:tblGrid>
      <w:tr>
        <w:trPr/>
        <w:tc>
          <w:tcPr>
            <w:tcW w:w="261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9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618" w:type="dxa"/>
            <w:tcBorders/>
            <w:vAlign w:val="bottom"/>
          </w:tcPr>
          <w:p>
            <w:pPr>
              <w:pStyle w:val="TableContents"/>
              <w:bidi w:val="0"/>
              <w:spacing w:before="0" w:after="283"/>
              <w:jc w:val="left"/>
              <w:rPr/>
            </w:pPr>
            <w:r>
              <w:rPr/>
              <w:t>Large accelerated filer</w:t>
            </w:r>
          </w:p>
        </w:tc>
        <w:tc>
          <w:tcPr>
            <w:tcW w:w="102"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Accelerated filer</w:t>
            </w:r>
          </w:p>
        </w:tc>
        <w:tc>
          <w:tcPr>
            <w:tcW w:w="10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4500" w:type="dxa"/>
            <w:gridSpan w:val="2"/>
            <w:tcBorders/>
            <w:vAlign w:val="center"/>
          </w:tcPr>
          <w:p>
            <w:pPr>
              <w:pStyle w:val="TableContents"/>
              <w:bidi w:val="0"/>
              <w:spacing w:before="0" w:after="283"/>
              <w:jc w:val="left"/>
              <w:rPr>
                <w:sz w:val="4"/>
                <w:szCs w:val="4"/>
              </w:rPr>
            </w:pPr>
            <w:r>
              <w:rPr>
                <w:sz w:val="4"/>
                <w:szCs w:val="4"/>
              </w:rPr>
            </w:r>
          </w:p>
        </w:tc>
        <w:tc>
          <w:tcPr>
            <w:tcW w:w="2733" w:type="dxa"/>
            <w:gridSpan w:val="2"/>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vAlign w:val="bottom"/>
          </w:tcPr>
          <w:p>
            <w:pPr>
              <w:pStyle w:val="TableContents"/>
              <w:bidi w:val="0"/>
              <w:spacing w:before="0" w:after="283"/>
              <w:jc w:val="left"/>
              <w:rPr/>
            </w:pPr>
            <w:r>
              <w:rPr/>
              <w:t>Non-accelerated filer</w:t>
            </w:r>
          </w:p>
        </w:tc>
        <w:tc>
          <w:tcPr>
            <w:tcW w:w="102"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Smaller reporting company</w:t>
            </w:r>
          </w:p>
        </w:tc>
        <w:tc>
          <w:tcPr>
            <w:tcW w:w="10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4500" w:type="dxa"/>
            <w:gridSpan w:val="2"/>
            <w:tcBorders/>
            <w:vAlign w:val="center"/>
          </w:tcPr>
          <w:p>
            <w:pPr>
              <w:pStyle w:val="TableContents"/>
              <w:bidi w:val="0"/>
              <w:spacing w:before="0" w:after="283"/>
              <w:jc w:val="left"/>
              <w:rPr>
                <w:sz w:val="4"/>
                <w:szCs w:val="4"/>
              </w:rPr>
            </w:pPr>
            <w:r>
              <w:rPr>
                <w:sz w:val="4"/>
                <w:szCs w:val="4"/>
              </w:rPr>
            </w:r>
          </w:p>
        </w:tc>
        <w:tc>
          <w:tcPr>
            <w:tcW w:w="2733" w:type="dxa"/>
            <w:gridSpan w:val="2"/>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vAlign w:val="bottom"/>
          </w:tcPr>
          <w:p>
            <w:pPr>
              <w:pStyle w:val="TableContents"/>
              <w:bidi w:val="0"/>
              <w:spacing w:before="0" w:after="283"/>
              <w:jc w:val="left"/>
              <w:rPr/>
            </w:pPr>
            <w:r>
              <w:rPr/>
              <w:t>Emerging growth company</w:t>
            </w:r>
          </w:p>
        </w:tc>
        <w:tc>
          <w:tcPr>
            <w:tcW w:w="102" w:type="dxa"/>
            <w:tcBorders/>
            <w:vAlign w:val="bottom"/>
          </w:tcPr>
          <w:p>
            <w:pPr>
              <w:pStyle w:val="TableContents"/>
              <w:bidi w:val="0"/>
              <w:spacing w:before="0" w:after="283"/>
              <w:jc w:val="left"/>
              <w:rPr/>
            </w:pPr>
            <w:r>
              <w:rPr/>
              <w:t> </w:t>
            </w:r>
          </w:p>
        </w:tc>
        <w:tc>
          <w:tcPr>
            <w:tcW w:w="439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documents containing the information specified in Part I of Form S-8 will be sent or given to employees as specified by Rule 428(b)(1) under the Securities Act of 1933, as amended (the Securities Act). Such documents are not required to be, and are not, filed with the Securities and Exchange Commission (the SEC), either as part of this registration statement or as prospectuses or prospectus supplements pursuant to Rule 424 under the Securities Act. These documents and the documents incorporated by reference in this registration statement pursuant to Item 3 of Part II of Form S-8, taken together, constitute a prospectus that meets the requirements of Section 10(a)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documents listed in (a) through (e) below are incorporated by reference in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the Registrants (as defined below) proxy statement/prospectus/consent solicitation statement constituting part of the Registrants Registration Statement on Form S-4 (File No.  333-269763), filed with the SEC pursuant to Rule 424(b) under the Securities Act on </w:t>
            </w:r>
            <w:hyperlink r:id="rId2">
              <w:r>
                <w:rPr>
                  <w:rStyle w:val="InternetLink"/>
                  <w:rFonts w:ascii="Times New Roman" w:hAnsi="Times New Roman"/>
                  <w:sz w:val="20"/>
                </w:rPr>
                <w:t>May 12, 2023</w:t>
              </w:r>
            </w:hyperlink>
            <w:r>
              <w:rPr>
                <w:rFonts w:ascii="Times New Roman" w:hAnsi="Times New Roman"/>
                <w:sz w:val="20"/>
              </w:rPr>
              <w:t xml:space="preserve">, which contains the audited financial statements for Drilling Tool International Holdings, Inc.s latest fiscal year for which such statements have been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rFonts w:ascii="Times New Roman" w:hAnsi="Times New Roman"/>
                <w:sz w:val="20"/>
              </w:rPr>
              <w:t xml:space="preserve">the Registrants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2022, filed with the SEC on March 21,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pPr>
            <w:r>
              <w:rPr>
                <w:rFonts w:ascii="Times New Roman" w:hAnsi="Times New Roman"/>
                <w:sz w:val="20"/>
              </w:rPr>
              <w:t xml:space="preserve">the Registrants Quarterly Reports on Form 10-Q for the quarters ended March 31, 2023 and June 30, 2023, filed with the SEC on </w:t>
            </w:r>
            <w:hyperlink r:id="rId4">
              <w:r>
                <w:rPr>
                  <w:rStyle w:val="InternetLink"/>
                  <w:rFonts w:ascii="Times New Roman" w:hAnsi="Times New Roman"/>
                  <w:sz w:val="20"/>
                </w:rPr>
                <w:t>May  22, 2023</w:t>
              </w:r>
            </w:hyperlink>
            <w:r>
              <w:rPr>
                <w:rFonts w:ascii="Times New Roman" w:hAnsi="Times New Roman"/>
                <w:sz w:val="20"/>
              </w:rPr>
              <w:t xml:space="preserve"> and </w:t>
            </w:r>
            <w:hyperlink r:id="rId5">
              <w:r>
                <w:rPr>
                  <w:rStyle w:val="InternetLink"/>
                  <w:rFonts w:ascii="Times New Roman" w:hAnsi="Times New Roman"/>
                  <w:sz w:val="20"/>
                </w:rPr>
                <w:t>August 14,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rFonts w:ascii="Times New Roman" w:hAnsi="Times New Roman"/>
                <w:sz w:val="20"/>
              </w:rPr>
              <w:t xml:space="preserve">the Registrants Current Reports on Form 8-K filed with the SEC on </w:t>
            </w:r>
            <w:hyperlink r:id="rId6">
              <w:r>
                <w:rPr>
                  <w:rStyle w:val="InternetLink"/>
                  <w:rFonts w:ascii="Times New Roman" w:hAnsi="Times New Roman"/>
                  <w:sz w:val="20"/>
                </w:rPr>
                <w:t>January  20, 2023</w:t>
              </w:r>
            </w:hyperlink>
            <w:r>
              <w:rPr>
                <w:rFonts w:ascii="Times New Roman" w:hAnsi="Times New Roman"/>
                <w:sz w:val="20"/>
              </w:rPr>
              <w:t xml:space="preserve">; </w:t>
            </w:r>
            <w:hyperlink r:id="rId7">
              <w:r>
                <w:rPr>
                  <w:rStyle w:val="InternetLink"/>
                  <w:rFonts w:ascii="Times New Roman" w:hAnsi="Times New Roman"/>
                  <w:sz w:val="20"/>
                </w:rPr>
                <w:t>February  14, 2023</w:t>
              </w:r>
            </w:hyperlink>
            <w:r>
              <w:rPr>
                <w:rFonts w:ascii="Times New Roman" w:hAnsi="Times New Roman"/>
                <w:sz w:val="20"/>
              </w:rPr>
              <w:t xml:space="preserve">; </w:t>
            </w:r>
            <w:hyperlink r:id="rId8">
              <w:r>
                <w:rPr>
                  <w:rStyle w:val="InternetLink"/>
                  <w:rFonts w:ascii="Times New Roman" w:hAnsi="Times New Roman"/>
                  <w:sz w:val="20"/>
                </w:rPr>
                <w:t>March  6, 2023</w:t>
              </w:r>
            </w:hyperlink>
            <w:r>
              <w:rPr>
                <w:rFonts w:ascii="Times New Roman" w:hAnsi="Times New Roman"/>
                <w:sz w:val="20"/>
              </w:rPr>
              <w:t xml:space="preserve">; </w:t>
            </w:r>
            <w:hyperlink r:id="rId9">
              <w:r>
                <w:rPr>
                  <w:rStyle w:val="InternetLink"/>
                  <w:rFonts w:ascii="Times New Roman" w:hAnsi="Times New Roman"/>
                  <w:sz w:val="20"/>
                </w:rPr>
                <w:t>March  7, 2023</w:t>
              </w:r>
            </w:hyperlink>
            <w:r>
              <w:rPr>
                <w:rFonts w:ascii="Times New Roman" w:hAnsi="Times New Roman"/>
                <w:sz w:val="20"/>
              </w:rPr>
              <w:t xml:space="preserve">; </w:t>
            </w:r>
            <w:hyperlink r:id="rId10">
              <w:r>
                <w:rPr>
                  <w:rStyle w:val="InternetLink"/>
                  <w:rFonts w:ascii="Times New Roman" w:hAnsi="Times New Roman"/>
                  <w:sz w:val="20"/>
                </w:rPr>
                <w:t>May  31, 2023</w:t>
              </w:r>
            </w:hyperlink>
            <w:r>
              <w:rPr>
                <w:rFonts w:ascii="Times New Roman" w:hAnsi="Times New Roman"/>
                <w:sz w:val="20"/>
              </w:rPr>
              <w:t xml:space="preserve">; </w:t>
            </w:r>
            <w:hyperlink r:id="rId11">
              <w:r>
                <w:rPr>
                  <w:rStyle w:val="InternetLink"/>
                  <w:rFonts w:ascii="Times New Roman" w:hAnsi="Times New Roman"/>
                  <w:sz w:val="20"/>
                </w:rPr>
                <w:t>June  7, 2023</w:t>
              </w:r>
            </w:hyperlink>
            <w:r>
              <w:rPr>
                <w:rFonts w:ascii="Times New Roman" w:hAnsi="Times New Roman"/>
                <w:sz w:val="20"/>
              </w:rPr>
              <w:t xml:space="preserve">; </w:t>
            </w:r>
            <w:hyperlink r:id="rId12">
              <w:r>
                <w:rPr>
                  <w:rStyle w:val="InternetLink"/>
                  <w:rFonts w:ascii="Times New Roman" w:hAnsi="Times New Roman"/>
                  <w:sz w:val="20"/>
                </w:rPr>
                <w:t>June  9, 2023</w:t>
              </w:r>
            </w:hyperlink>
            <w:r>
              <w:rPr>
                <w:rFonts w:ascii="Times New Roman" w:hAnsi="Times New Roman"/>
                <w:sz w:val="20"/>
              </w:rPr>
              <w:t xml:space="preserve">; and </w:t>
            </w:r>
            <w:hyperlink r:id="rId13">
              <w:r>
                <w:rPr>
                  <w:rStyle w:val="InternetLink"/>
                  <w:rFonts w:ascii="Times New Roman" w:hAnsi="Times New Roman"/>
                  <w:sz w:val="20"/>
                </w:rPr>
                <w:t>June 27, 2023</w:t>
              </w:r>
            </w:hyperlink>
            <w:r>
              <w:rPr>
                <w:rFonts w:ascii="Times New Roman" w:hAnsi="Times New Roman"/>
                <w:sz w:val="20"/>
              </w:rPr>
              <w:t xml:space="preserve"> (except for any portions of such Current Reports on Form 8-K furnished pursuant to Item 2.02 and/or Item 7.01 thereof and any corresponding exhibits thereto not filed with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pPr>
            <w:r>
              <w:rPr>
                <w:rFonts w:ascii="Times New Roman" w:hAnsi="Times New Roman"/>
                <w:sz w:val="20"/>
              </w:rPr>
              <w:t xml:space="preserve">the description of the Registrants common stock contained in the Registrants Registration Statement on </w:t>
            </w:r>
            <w:hyperlink r:id="rId14">
              <w:r>
                <w:rPr>
                  <w:rStyle w:val="InternetLink"/>
                  <w:rFonts w:ascii="Times New Roman" w:hAnsi="Times New Roman"/>
                  <w:sz w:val="20"/>
                </w:rPr>
                <w:t>Form 8-A</w:t>
              </w:r>
            </w:hyperlink>
            <w:r>
              <w:rPr>
                <w:rFonts w:ascii="Times New Roman" w:hAnsi="Times New Roman"/>
                <w:sz w:val="20"/>
              </w:rPr>
              <w:t xml:space="preserve"> (File No. 001-41103) filed with the SEC on November 29, 2021,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subsequently filed by Drilling Tools International Corporation (formerly known as ROC Energy Acquisition Corp.) (the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 </w:t>
      </w:r>
      <w:r>
        <w:rPr>
          <w:rFonts w:ascii="Times New Roman" w:hAnsi="Times New Roman"/>
          <w:i/>
          <w:sz w:val="20"/>
        </w:rPr>
        <w:t>provided, however</w:t>
      </w:r>
      <w:r>
        <w:rPr>
          <w:rFonts w:ascii="Times New Roman" w:hAnsi="Times New Roman"/>
          <w:sz w:val="20"/>
        </w:rPr>
        <w:t xml:space="preserve">, that documents or information deemed to have been furnished and not filed in accordance with the rules of the SEC shall not be deemed incorporated by reference into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General Corporation Law of the State of Delaware (the DGCL) allows a corporation to provide in its certificate of incorporation that a director or officer of the corporation will not be personally liable to the corporation or its stockholders for monetary damages for breach of fiduciary duty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 or officer, except where the director or officer breached the duty of loyalty, failed to act in good faith, engaged in intentional misconduct or knowingly violated a law, authorized the payment of a dividend or approved a stock repurchase or redemption in violation of Delaware corporate law or obtained an improper personal benefit, or where the action is by or in the right of the corporation. The Registrants Second Amended and Restated Certificate of Incorporation (the Certificate of Incorporation) provides for this 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the corporation, or is or was serving at the request of the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in respect of any claim as to which the person has been adjudged to be liable to the corporation unless the applicable court determines that the person is, nonetheless, fairly and reasonably entitled to indemnity for such expenses which such court deems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The Registrants Amended and Restated Bylaws (the Bylaws) provide that the Registrant must indemnify and advance expenses to the Registrants directors and officers to the fullest extent authorized by the DGCL.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indemnification agreements with each of the Registrants directors and certain senior officers. Such agreements may require the Registrant, among other things, to advance expenses and otherwise indemnify the Registrants directors and certain senior officers against certain liabilities that may arise by reason of their status or service as directors or executive officers, to the fullest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rights set forth above shall not be exclusive of any other right which an indemnified person may have or hereafter acquire under any statute, any provision of the Certificate of Incorporation and Bylaws, agreement, vote of stockholders or disinterested directors or otherwise. Notwithstanding the foregoing, the Registrant shall not be obligated to indemnify or advance expenses to a director or officer in respect of a proceeding (or part thereof) initiated by such director or officer, unless such proceeding (or part thereof) was authorized by the Registrants board of directors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at the time such action occurred or immediately after such director has notice of the unlawful 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Registrant currently maintains and expects to continue to maintain standard policies of insurance that provide coverage (1) to the Registrants directors and officers against loss arising from claims made by reason of breach of duty or other wrongful act and (2) to the Registrant with respect to indemnification payments that the Registrant may make to such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discourage holders of the Registrants common stock, par value $0.0001 per share (Stockholders) from bringing a lawsuit against the Registrants directors for breach of their fiduciary duty. These provisions also may have the effect of reducing the likelihood of derivative litigation against the Registrants directors and officers, even though such an action, if successful, might otherwise benefit the Registrant and the Stockholders. Furthermore, a Stockholders investment may be adversely affected to the extent the Registrant pays the costs of settlement and damage awards against officers and directors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believes that these provisions, the insurance, and the indemnity agreements are necessary to attract and retain talented and experienced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Registrants non-employee directors may, through their relationships with their respective employers, be insured or indemnified against certain liabilities incurred in their capacity as members of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1"/>
        <w:gridCol w:w="563"/>
        <w:gridCol w:w="8441"/>
      </w:tblGrid>
      <w:tr>
        <w:trPr/>
        <w:tc>
          <w:tcPr>
            <w:tcW w:w="1201"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8441" w:type="dxa"/>
            <w:tcBorders/>
            <w:vAlign w:val="center"/>
          </w:tcPr>
          <w:p>
            <w:pPr>
              <w:pStyle w:val="TableContents"/>
              <w:bidi w:val="0"/>
              <w:spacing w:before="0" w:after="283"/>
              <w:jc w:val="left"/>
              <w:rPr>
                <w:sz w:val="4"/>
                <w:szCs w:val="4"/>
              </w:rPr>
            </w:pPr>
            <w:r>
              <w:rPr>
                <w:sz w:val="4"/>
                <w:szCs w:val="4"/>
              </w:rPr>
            </w:r>
          </w:p>
        </w:tc>
      </w:tr>
      <w:tr>
        <w:trPr/>
        <w:tc>
          <w:tcPr>
            <w:tcW w:w="1201"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563" w:type="dxa"/>
            <w:tcBorders/>
            <w:vAlign w:val="bottom"/>
          </w:tcPr>
          <w:p>
            <w:pPr>
              <w:pStyle w:val="TableContents"/>
              <w:bidi w:val="0"/>
              <w:spacing w:before="0" w:after="283"/>
              <w:jc w:val="left"/>
              <w:rPr/>
            </w:pPr>
            <w:r>
              <w:rPr/>
              <w:t>  </w:t>
            </w:r>
          </w:p>
        </w:tc>
        <w:tc>
          <w:tcPr>
            <w:tcW w:w="844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4.1</w:t>
            </w:r>
          </w:p>
        </w:tc>
        <w:tc>
          <w:tcPr>
            <w:tcW w:w="563" w:type="dxa"/>
            <w:tcBorders/>
            <w:vAlign w:val="bottom"/>
          </w:tcPr>
          <w:p>
            <w:pPr>
              <w:pStyle w:val="TableContents"/>
              <w:bidi w:val="0"/>
              <w:spacing w:before="0" w:after="283"/>
              <w:jc w:val="left"/>
              <w:rPr/>
            </w:pPr>
            <w:r>
              <w:rPr/>
              <w:t>  </w:t>
            </w:r>
          </w:p>
        </w:tc>
        <w:tc>
          <w:tcPr>
            <w:tcW w:w="8441" w:type="dxa"/>
            <w:tcBorders/>
          </w:tcPr>
          <w:p>
            <w:pPr>
              <w:pStyle w:val="TableContents"/>
              <w:bidi w:val="0"/>
              <w:spacing w:before="0" w:after="283"/>
              <w:jc w:val="left"/>
              <w:rPr/>
            </w:pPr>
            <w:hyperlink r:id="rId15">
              <w:r>
                <w:rPr>
                  <w:rStyle w:val="InternetLink"/>
                </w:rPr>
                <w:t xml:space="preserve">Form of Specimen Common Stock Certificate of Drilling Tools International Corporation (incorporated by reference to Exhibit 4.1 to Drilling Tools International Corporations Current Report on Form 8-K (File No. 001-41103), filed with the Securities and Exchange Commission on June 27, 2023). </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5.1</w:t>
            </w:r>
          </w:p>
        </w:tc>
        <w:tc>
          <w:tcPr>
            <w:tcW w:w="563" w:type="dxa"/>
            <w:tcBorders/>
            <w:vAlign w:val="bottom"/>
          </w:tcPr>
          <w:p>
            <w:pPr>
              <w:pStyle w:val="TableContents"/>
              <w:bidi w:val="0"/>
              <w:spacing w:before="0" w:after="283"/>
              <w:jc w:val="left"/>
              <w:rPr/>
            </w:pPr>
            <w:r>
              <w:rPr/>
              <w:t>  </w:t>
            </w:r>
          </w:p>
        </w:tc>
        <w:tc>
          <w:tcPr>
            <w:tcW w:w="8441" w:type="dxa"/>
            <w:tcBorders/>
          </w:tcPr>
          <w:p>
            <w:pPr>
              <w:pStyle w:val="TableContents"/>
              <w:bidi w:val="0"/>
              <w:spacing w:before="0" w:after="283"/>
              <w:jc w:val="left"/>
              <w:rPr/>
            </w:pPr>
            <w:hyperlink w:anchor="d527484dex51.htm">
              <w:r>
                <w:rPr>
                  <w:rStyle w:val="InternetLink"/>
                </w:rPr>
                <w:t xml:space="preserve">Opinion of Bracewell LLP. </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10.1#</w:t>
            </w:r>
          </w:p>
        </w:tc>
        <w:tc>
          <w:tcPr>
            <w:tcW w:w="563" w:type="dxa"/>
            <w:tcBorders/>
            <w:vAlign w:val="bottom"/>
          </w:tcPr>
          <w:p>
            <w:pPr>
              <w:pStyle w:val="TableContents"/>
              <w:bidi w:val="0"/>
              <w:spacing w:before="0" w:after="283"/>
              <w:jc w:val="left"/>
              <w:rPr/>
            </w:pPr>
            <w:r>
              <w:rPr/>
              <w:t>  </w:t>
            </w:r>
          </w:p>
        </w:tc>
        <w:tc>
          <w:tcPr>
            <w:tcW w:w="8441"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"http://www.sec.gov/Archives/edgar/data/../../../ix?doc=/Archives/edgar/data/1884516/000110465923021677/rocau-20220930xs4.htm" \l "AnnexC_86635"</w:instrText>
            </w:r>
            <w:r>
              <w:rPr>
                <w:rStyle w:val="InternetLink"/>
              </w:rPr>
              <w:fldChar w:fldCharType="separate"/>
            </w:r>
            <w:r>
              <w:rPr>
                <w:rStyle w:val="InternetLink"/>
              </w:rPr>
              <w:t xml:space="preserve">Form of 2023 Omnibus Incentive Plan (incorporated by reference to Exhibit 10.1 to ROC Energy Acquisition Corp.s Registration Statement on Form S-4 (File No. 333-269763), filed with the Securities and Exchange Commission on February 14, 2023). </w:t>
            </w:r>
            <w:r>
              <w:rPr>
                <w:rStyle w:val="InternetLink"/>
              </w:rPr>
              <w:fldChar w:fldCharType="end"/>
            </w:r>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23.1</w:t>
            </w:r>
          </w:p>
        </w:tc>
        <w:tc>
          <w:tcPr>
            <w:tcW w:w="563" w:type="dxa"/>
            <w:tcBorders/>
            <w:vAlign w:val="bottom"/>
          </w:tcPr>
          <w:p>
            <w:pPr>
              <w:pStyle w:val="TableContents"/>
              <w:bidi w:val="0"/>
              <w:spacing w:before="0" w:after="283"/>
              <w:jc w:val="left"/>
              <w:rPr/>
            </w:pPr>
            <w:r>
              <w:rPr/>
              <w:t>  </w:t>
            </w:r>
          </w:p>
        </w:tc>
        <w:tc>
          <w:tcPr>
            <w:tcW w:w="8441" w:type="dxa"/>
            <w:tcBorders/>
          </w:tcPr>
          <w:p>
            <w:pPr>
              <w:pStyle w:val="TableContents"/>
              <w:bidi w:val="0"/>
              <w:spacing w:before="0" w:after="283"/>
              <w:jc w:val="left"/>
              <w:rPr/>
            </w:pPr>
            <w:hyperlink w:anchor="d527484dex231.htm">
              <w:r>
                <w:rPr>
                  <w:rStyle w:val="InternetLink"/>
                </w:rPr>
                <w:t xml:space="preserve">Consent of Weaver &amp; Tidwell LLP. </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23.2</w:t>
            </w:r>
          </w:p>
        </w:tc>
        <w:tc>
          <w:tcPr>
            <w:tcW w:w="563" w:type="dxa"/>
            <w:tcBorders/>
            <w:vAlign w:val="bottom"/>
          </w:tcPr>
          <w:p>
            <w:pPr>
              <w:pStyle w:val="TableContents"/>
              <w:bidi w:val="0"/>
              <w:spacing w:before="0" w:after="283"/>
              <w:jc w:val="left"/>
              <w:rPr/>
            </w:pPr>
            <w:r>
              <w:rPr/>
              <w:t>  </w:t>
            </w:r>
          </w:p>
        </w:tc>
        <w:tc>
          <w:tcPr>
            <w:tcW w:w="8441" w:type="dxa"/>
            <w:tcBorders/>
          </w:tcPr>
          <w:p>
            <w:pPr>
              <w:pStyle w:val="TableContents"/>
              <w:bidi w:val="0"/>
              <w:spacing w:before="0" w:after="283"/>
              <w:jc w:val="left"/>
              <w:rPr/>
            </w:pPr>
            <w:hyperlink w:anchor="d527484dex232.htm">
              <w:r>
                <w:rPr>
                  <w:rStyle w:val="InternetLink"/>
                </w:rPr>
                <w:t xml:space="preserve">Consent of WithumSmith+Brown, PC. </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23.3</w:t>
            </w:r>
          </w:p>
        </w:tc>
        <w:tc>
          <w:tcPr>
            <w:tcW w:w="563" w:type="dxa"/>
            <w:tcBorders/>
            <w:vAlign w:val="bottom"/>
          </w:tcPr>
          <w:p>
            <w:pPr>
              <w:pStyle w:val="TableContents"/>
              <w:bidi w:val="0"/>
              <w:spacing w:before="0" w:after="283"/>
              <w:jc w:val="left"/>
              <w:rPr/>
            </w:pPr>
            <w:r>
              <w:rPr/>
              <w:t>  </w:t>
            </w:r>
          </w:p>
        </w:tc>
        <w:tc>
          <w:tcPr>
            <w:tcW w:w="8441" w:type="dxa"/>
            <w:tcBorders/>
          </w:tcPr>
          <w:p>
            <w:pPr>
              <w:pStyle w:val="TableContents"/>
              <w:bidi w:val="0"/>
              <w:spacing w:before="0" w:after="283"/>
              <w:jc w:val="left"/>
              <w:rPr/>
            </w:pPr>
            <w:hyperlink w:anchor="d527484dex51.htm">
              <w:r>
                <w:rPr>
                  <w:rStyle w:val="InternetLink"/>
                </w:rPr>
                <w:t xml:space="preserve">Consent of Bracewell LLP (included as part of Exhibit 5.1). </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24.1</w:t>
            </w:r>
          </w:p>
        </w:tc>
        <w:tc>
          <w:tcPr>
            <w:tcW w:w="563" w:type="dxa"/>
            <w:tcBorders/>
            <w:vAlign w:val="bottom"/>
          </w:tcPr>
          <w:p>
            <w:pPr>
              <w:pStyle w:val="TableContents"/>
              <w:bidi w:val="0"/>
              <w:spacing w:before="0" w:after="283"/>
              <w:jc w:val="left"/>
              <w:rPr/>
            </w:pPr>
            <w:r>
              <w:rPr/>
              <w:t>  </w:t>
            </w:r>
          </w:p>
        </w:tc>
        <w:tc>
          <w:tcPr>
            <w:tcW w:w="8441" w:type="dxa"/>
            <w:tcBorders/>
          </w:tcPr>
          <w:p>
            <w:pPr>
              <w:pStyle w:val="TableContents"/>
              <w:bidi w:val="0"/>
              <w:spacing w:before="0" w:after="283"/>
              <w:jc w:val="left"/>
              <w:rPr/>
            </w:pPr>
            <w:hyperlink w:anchor="sig">
              <w:r>
                <w:rPr>
                  <w:rStyle w:val="InternetLink"/>
                </w:rPr>
                <w:t xml:space="preserve">Power of Attorney (included on the signature page hereto). </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107</w:t>
            </w:r>
          </w:p>
        </w:tc>
        <w:tc>
          <w:tcPr>
            <w:tcW w:w="563" w:type="dxa"/>
            <w:tcBorders/>
            <w:vAlign w:val="bottom"/>
          </w:tcPr>
          <w:p>
            <w:pPr>
              <w:pStyle w:val="TableContents"/>
              <w:bidi w:val="0"/>
              <w:spacing w:before="0" w:after="283"/>
              <w:jc w:val="left"/>
              <w:rPr/>
            </w:pPr>
            <w:r>
              <w:rPr/>
              <w:t>  </w:t>
            </w:r>
          </w:p>
        </w:tc>
        <w:tc>
          <w:tcPr>
            <w:tcW w:w="8441" w:type="dxa"/>
            <w:tcBorders/>
          </w:tcPr>
          <w:p>
            <w:pPr>
              <w:pStyle w:val="TableContents"/>
              <w:bidi w:val="0"/>
              <w:spacing w:before="0" w:after="283"/>
              <w:jc w:val="left"/>
              <w:rPr/>
            </w:pPr>
            <w:hyperlink w:anchor="d527484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or arrangement.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Filing Fee Table filed with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r>
              <w:rPr>
                <w:rFonts w:ascii="Times New Roman" w:hAnsi="Times New Roman"/>
                <w:i/>
                <w:sz w:val="20"/>
              </w:rPr>
              <w:t>provided, 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authorized, in the City of Houston, State of Texas, on August 28,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DRILLING TOOLS INTERNATIONAL CORPORATION</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 Wayne Prejean</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R. Wayne Prejean</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jointly and severally, R. Wayne Prejean, as his attorney-in-fact, with full power of substitution and resubstitution, for him and in his name, place, and stead, in any and all capacities, to sign any and all amendments (including post-effective amendments), and any and all registration statements filed pursuant to Rule 462 under the Securities Act of 1933, as amended, in connection with or related to this registration statement and its amendments, if any, and to file the same, with exhibits thereto and other documents in connection therewith, with the Securities and Exchange Commission, hereby ratifying and confirming our signatures as they may be signed by our said attorney to any and all amendments to said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18"/>
        <w:gridCol w:w="122"/>
        <w:gridCol w:w="3546"/>
        <w:gridCol w:w="122"/>
        <w:gridCol w:w="2697"/>
      </w:tblGrid>
      <w:tr>
        <w:trPr/>
        <w:tc>
          <w:tcPr>
            <w:tcW w:w="371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371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2" w:type="dxa"/>
            <w:tcBorders/>
            <w:vAlign w:val="bottom"/>
          </w:tcPr>
          <w:p>
            <w:pPr>
              <w:pStyle w:val="TableContents"/>
              <w:bidi w:val="0"/>
              <w:spacing w:before="0" w:after="283"/>
              <w:jc w:val="left"/>
              <w:rPr/>
            </w:pPr>
            <w:r>
              <w:rPr/>
              <w:t>  </w:t>
            </w:r>
          </w:p>
        </w:tc>
        <w:tc>
          <w:tcPr>
            <w:tcW w:w="35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2" w:type="dxa"/>
            <w:tcBorders/>
            <w:vAlign w:val="bottom"/>
          </w:tcPr>
          <w:p>
            <w:pPr>
              <w:pStyle w:val="TableContents"/>
              <w:bidi w:val="0"/>
              <w:spacing w:before="0" w:after="283"/>
              <w:jc w:val="left"/>
              <w:rPr/>
            </w:pPr>
            <w:r>
              <w:rPr/>
              <w:t>  </w:t>
            </w:r>
          </w:p>
        </w:tc>
        <w:tc>
          <w:tcPr>
            <w:tcW w:w="26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18"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37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 Wayne Prejean</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Chief Executive Officer and Director</w:t>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center"/>
              <w:rPr/>
            </w:pPr>
            <w:r>
              <w:rPr/>
              <w:t>August 28, 2023</w:t>
            </w:r>
          </w:p>
        </w:tc>
      </w:tr>
      <w:tr>
        <w:trPr/>
        <w:tc>
          <w:tcPr>
            <w:tcW w:w="3718" w:type="dxa"/>
            <w:tcBorders/>
          </w:tcPr>
          <w:p>
            <w:pPr>
              <w:pStyle w:val="TableContents"/>
              <w:bidi w:val="0"/>
              <w:spacing w:before="0" w:after="283"/>
              <w:jc w:val="left"/>
              <w:rPr/>
            </w:pPr>
            <w:r>
              <w:rPr/>
              <w:t>R. Wayne Prejean</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w:t>
            </w:r>
            <w:r>
              <w:rPr>
                <w:i/>
              </w:rPr>
              <w:t>Principal Executive Officer</w:t>
            </w:r>
            <w:r>
              <w:rPr/>
              <w:t>)</w:t>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left"/>
              <w:rPr>
                <w:sz w:val="4"/>
                <w:szCs w:val="4"/>
              </w:rPr>
            </w:pPr>
            <w:r>
              <w:rPr>
                <w:sz w:val="4"/>
                <w:szCs w:val="4"/>
              </w:rPr>
            </w:r>
          </w:p>
        </w:tc>
      </w:tr>
      <w:tr>
        <w:trPr>
          <w:trHeight w:val="240" w:hRule="atLeast"/>
        </w:trPr>
        <w:tc>
          <w:tcPr>
            <w:tcW w:w="3718"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37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Chief Financial Officer</w:t>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center"/>
              <w:rPr/>
            </w:pPr>
            <w:r>
              <w:rPr/>
              <w:t>August 28, 2023</w:t>
            </w:r>
          </w:p>
        </w:tc>
      </w:tr>
      <w:tr>
        <w:trPr/>
        <w:tc>
          <w:tcPr>
            <w:tcW w:w="3718" w:type="dxa"/>
            <w:tcBorders/>
          </w:tcPr>
          <w:p>
            <w:pPr>
              <w:pStyle w:val="TableContents"/>
              <w:bidi w:val="0"/>
              <w:spacing w:before="0" w:after="283"/>
              <w:jc w:val="left"/>
              <w:rPr/>
            </w:pPr>
            <w:r>
              <w:rPr/>
              <w:t>David R. Johnson</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w:t>
            </w:r>
            <w:r>
              <w:rPr>
                <w:i/>
              </w:rPr>
              <w:t>Principal Financial and Accounting Officer</w:t>
            </w:r>
            <w:r>
              <w:rPr/>
              <w:t>)</w:t>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left"/>
              <w:rPr>
                <w:sz w:val="4"/>
                <w:szCs w:val="4"/>
              </w:rPr>
            </w:pPr>
            <w:r>
              <w:rPr>
                <w:sz w:val="4"/>
                <w:szCs w:val="4"/>
              </w:rPr>
            </w:r>
          </w:p>
        </w:tc>
      </w:tr>
      <w:tr>
        <w:trPr>
          <w:trHeight w:val="240" w:hRule="atLeast"/>
        </w:trPr>
        <w:tc>
          <w:tcPr>
            <w:tcW w:w="3718"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37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O. Hicks</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Chairman and Director</w:t>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center"/>
              <w:rPr/>
            </w:pPr>
            <w:r>
              <w:rPr/>
              <w:t>August 28, 2023</w:t>
            </w:r>
          </w:p>
        </w:tc>
      </w:tr>
      <w:tr>
        <w:trPr/>
        <w:tc>
          <w:tcPr>
            <w:tcW w:w="3718" w:type="dxa"/>
            <w:tcBorders/>
          </w:tcPr>
          <w:p>
            <w:pPr>
              <w:pStyle w:val="TableContents"/>
              <w:bidi w:val="0"/>
              <w:spacing w:before="0" w:after="283"/>
              <w:jc w:val="left"/>
              <w:rPr/>
            </w:pPr>
            <w:r>
              <w:rPr/>
              <w:t>Thomas O. Hicks</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left"/>
              <w:rPr>
                <w:sz w:val="4"/>
                <w:szCs w:val="4"/>
              </w:rPr>
            </w:pPr>
            <w:r>
              <w:rPr>
                <w:sz w:val="4"/>
                <w:szCs w:val="4"/>
              </w:rPr>
            </w:r>
          </w:p>
        </w:tc>
      </w:tr>
      <w:tr>
        <w:trPr>
          <w:trHeight w:val="240" w:hRule="atLeast"/>
        </w:trPr>
        <w:tc>
          <w:tcPr>
            <w:tcW w:w="3718"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37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Curtis L. Crofford</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Director</w:t>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center"/>
              <w:rPr/>
            </w:pPr>
            <w:r>
              <w:rPr/>
              <w:t>August 28, 2023</w:t>
            </w:r>
          </w:p>
        </w:tc>
      </w:tr>
      <w:tr>
        <w:trPr/>
        <w:tc>
          <w:tcPr>
            <w:tcW w:w="3718" w:type="dxa"/>
            <w:tcBorders/>
          </w:tcPr>
          <w:p>
            <w:pPr>
              <w:pStyle w:val="TableContents"/>
              <w:bidi w:val="0"/>
              <w:spacing w:before="0" w:after="283"/>
              <w:jc w:val="left"/>
              <w:rPr/>
            </w:pPr>
            <w:r>
              <w:rPr/>
              <w:t>Curtis L. Crofford</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left"/>
              <w:rPr>
                <w:sz w:val="4"/>
                <w:szCs w:val="4"/>
              </w:rPr>
            </w:pPr>
            <w:r>
              <w:rPr>
                <w:sz w:val="4"/>
                <w:szCs w:val="4"/>
              </w:rPr>
            </w:r>
          </w:p>
        </w:tc>
      </w:tr>
      <w:tr>
        <w:trPr>
          <w:trHeight w:val="240" w:hRule="atLeast"/>
        </w:trPr>
        <w:tc>
          <w:tcPr>
            <w:tcW w:w="3718"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37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D. Furst</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Director</w:t>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center"/>
              <w:rPr/>
            </w:pPr>
            <w:r>
              <w:rPr/>
              <w:t>August 28, 2023</w:t>
            </w:r>
          </w:p>
        </w:tc>
      </w:tr>
      <w:tr>
        <w:trPr/>
        <w:tc>
          <w:tcPr>
            <w:tcW w:w="3718" w:type="dxa"/>
            <w:tcBorders/>
          </w:tcPr>
          <w:p>
            <w:pPr>
              <w:pStyle w:val="TableContents"/>
              <w:bidi w:val="0"/>
              <w:spacing w:before="0" w:after="283"/>
              <w:jc w:val="left"/>
              <w:rPr/>
            </w:pPr>
            <w:r>
              <w:rPr/>
              <w:t>John D. Furst</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left"/>
              <w:rPr>
                <w:sz w:val="4"/>
                <w:szCs w:val="4"/>
              </w:rPr>
            </w:pPr>
            <w:r>
              <w:rPr>
                <w:sz w:val="4"/>
                <w:szCs w:val="4"/>
              </w:rPr>
            </w:r>
          </w:p>
        </w:tc>
      </w:tr>
      <w:tr>
        <w:trPr>
          <w:trHeight w:val="240" w:hRule="atLeast"/>
        </w:trPr>
        <w:tc>
          <w:tcPr>
            <w:tcW w:w="3718"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37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C. Neuman</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Director</w:t>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center"/>
              <w:rPr/>
            </w:pPr>
            <w:r>
              <w:rPr/>
              <w:t>August 28, 2023</w:t>
            </w:r>
          </w:p>
        </w:tc>
      </w:tr>
      <w:tr>
        <w:trPr/>
        <w:tc>
          <w:tcPr>
            <w:tcW w:w="3718" w:type="dxa"/>
            <w:tcBorders/>
          </w:tcPr>
          <w:p>
            <w:pPr>
              <w:pStyle w:val="TableContents"/>
              <w:bidi w:val="0"/>
              <w:spacing w:before="0" w:after="283"/>
              <w:jc w:val="left"/>
              <w:rPr/>
            </w:pPr>
            <w:r>
              <w:rPr/>
              <w:t>Eric C. Neuman</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left"/>
              <w:rPr>
                <w:sz w:val="4"/>
                <w:szCs w:val="4"/>
              </w:rPr>
            </w:pPr>
            <w:r>
              <w:rPr>
                <w:sz w:val="4"/>
                <w:szCs w:val="4"/>
              </w:rPr>
            </w:r>
          </w:p>
        </w:tc>
      </w:tr>
      <w:tr>
        <w:trPr>
          <w:trHeight w:val="240" w:hRule="atLeast"/>
        </w:trPr>
        <w:tc>
          <w:tcPr>
            <w:tcW w:w="3718"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37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M. Patterson</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Director</w:t>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center"/>
              <w:rPr/>
            </w:pPr>
            <w:r>
              <w:rPr/>
              <w:t>August 28, 2023</w:t>
            </w:r>
          </w:p>
        </w:tc>
      </w:tr>
      <w:tr>
        <w:trPr/>
        <w:tc>
          <w:tcPr>
            <w:tcW w:w="3718" w:type="dxa"/>
            <w:tcBorders/>
          </w:tcPr>
          <w:p>
            <w:pPr>
              <w:pStyle w:val="TableContents"/>
              <w:bidi w:val="0"/>
              <w:spacing w:before="0" w:after="283"/>
              <w:jc w:val="left"/>
              <w:rPr/>
            </w:pPr>
            <w:r>
              <w:rPr/>
              <w:t>Thomas M. Patterson</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left"/>
              <w:rPr>
                <w:sz w:val="4"/>
                <w:szCs w:val="4"/>
              </w:rPr>
            </w:pPr>
            <w:r>
              <w:rPr>
                <w:sz w:val="4"/>
                <w:szCs w:val="4"/>
              </w:rPr>
            </w:r>
          </w:p>
        </w:tc>
      </w:tr>
      <w:tr>
        <w:trPr>
          <w:trHeight w:val="240" w:hRule="atLeast"/>
        </w:trPr>
        <w:tc>
          <w:tcPr>
            <w:tcW w:w="3718"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37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 Richard Vermillion</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Director</w:t>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center"/>
              <w:rPr/>
            </w:pPr>
            <w:r>
              <w:rPr/>
              <w:t>August 28, 2023</w:t>
            </w:r>
          </w:p>
        </w:tc>
      </w:tr>
      <w:tr>
        <w:trPr/>
        <w:tc>
          <w:tcPr>
            <w:tcW w:w="3718" w:type="dxa"/>
            <w:tcBorders/>
          </w:tcPr>
          <w:p>
            <w:pPr>
              <w:pStyle w:val="TableContents"/>
              <w:bidi w:val="0"/>
              <w:spacing w:before="0" w:after="283"/>
              <w:jc w:val="left"/>
              <w:rPr/>
            </w:pPr>
            <w:r>
              <w:rPr/>
              <w:t>C. Richard Vermillion</w:t>
            </w:r>
          </w:p>
        </w:tc>
        <w:tc>
          <w:tcPr>
            <w:tcW w:w="122"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6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3" w:name="d527484dex51.htm"/>
      <w:bookmarkStart w:id="4" w:name="ksd527484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79070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1790700" cy="190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August 28, 2023 </w:t>
      </w:r>
    </w:p>
    <w:p>
      <w:pPr>
        <w:pStyle w:val="TextBody"/>
        <w:bidi w:val="0"/>
        <w:spacing w:before="240" w:after="0"/>
        <w:jc w:val="left"/>
        <w:rPr>
          <w:rFonts w:ascii="Times New Roman" w:hAnsi="Times New Roman"/>
          <w:sz w:val="20"/>
        </w:rPr>
      </w:pPr>
      <w:r>
        <w:rPr>
          <w:rFonts w:ascii="Times New Roman" w:hAnsi="Times New Roman"/>
          <w:sz w:val="20"/>
        </w:rPr>
        <w:t xml:space="preserve">Drilling Tools International Corporation </w:t>
      </w:r>
    </w:p>
    <w:p>
      <w:pPr>
        <w:pStyle w:val="TextBody"/>
        <w:bidi w:val="0"/>
        <w:spacing w:before="0" w:after="0"/>
        <w:jc w:val="left"/>
        <w:rPr>
          <w:rFonts w:ascii="Times New Roman" w:hAnsi="Times New Roman"/>
          <w:sz w:val="20"/>
        </w:rPr>
      </w:pPr>
      <w:r>
        <w:rPr>
          <w:rFonts w:ascii="Times New Roman" w:hAnsi="Times New Roman"/>
          <w:sz w:val="20"/>
        </w:rPr>
        <w:t xml:space="preserve">3701 Briarpark Dr., Suite 150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77042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Drilling Tools International Corporation (the Corporation), a Delaware corporation, in connection with the registration of the sale of up to 5,338,587 shares (the Shares) of common stock, par value $0.0001 per share, of the Corporation to participants in the 2023 Omnibus Incentive Plan (the Plan). The Corporation is filing with the Securities and Exchange Commission (the Commission) under the Securities Act of 1933, as amended (the Securities Act), a registration statement on Form S-8 (the Registration Statement) with respect to the Shares. We have been asked by the Corporation to render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copies of the Certificate of Incorporation and the Bylaws of the Corporation, each as amended to the date hereof, the Plan, the Registration Statement, certain resolutions of the Board of Directors of the Corporation and such other documents and records as we have deemed necessary and relevant for the purposes hereof. In addition, we have relied on certificates of officers of the Corporation and of public officials and others as to certain matters of fact relating to this opinion and have made such investigations of law as we have deemed necessary and relevant as a basis hereof. In the course of such examinations and investigations, we have assumed the genuineness of all signatures on, and the authenticity of, all documents and records submitted to us as originals, the conformity to authentic original documents and records of all documents and records submitted to us as copies, and the truthfulness of all statements of fact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limitations, assumptions and qualifications set forth herein, and having due regard for such legal considerations as we deem relevant, we are of the opinion that, when issued to the Plan participants in accordance with the Plan,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based on and limited to the General Corporation Law of the State of Delaware (including the applicable provisions of the Delaware Constitution and the reported judicial decisions interpreting those laws currently in effect) and the relevant federal law of the United States of America, and we render no opinion with respect to the law of any other jurisdiction.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7"/>
        <w:gridCol w:w="120"/>
        <w:gridCol w:w="8428"/>
      </w:tblGrid>
      <w:tr>
        <w:trPr/>
        <w:tc>
          <w:tcPr>
            <w:tcW w:w="16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28" w:type="dxa"/>
            <w:tcBorders/>
            <w:vAlign w:val="center"/>
          </w:tcPr>
          <w:p>
            <w:pPr>
              <w:pStyle w:val="TableContents"/>
              <w:bidi w:val="0"/>
              <w:spacing w:before="0" w:after="283"/>
              <w:jc w:val="left"/>
              <w:rPr>
                <w:sz w:val="4"/>
                <w:szCs w:val="4"/>
              </w:rPr>
            </w:pPr>
            <w:r>
              <w:rPr>
                <w:sz w:val="4"/>
                <w:szCs w:val="4"/>
              </w:rPr>
            </w:r>
          </w:p>
        </w:tc>
      </w:tr>
      <w:tr>
        <w:trPr/>
        <w:tc>
          <w:tcPr>
            <w:tcW w:w="1657" w:type="dxa"/>
            <w:tcBorders/>
          </w:tcPr>
          <w:p>
            <w:pPr>
              <w:pStyle w:val="TableContents"/>
              <w:bidi w:val="0"/>
              <w:spacing w:before="0" w:after="283"/>
              <w:jc w:val="left"/>
              <w:rPr>
                <w:b/>
              </w:rPr>
            </w:pPr>
            <w:r>
              <w:rPr>
                <w:b/>
              </w:rPr>
              <w:t>Bracewell LLP</w:t>
            </w:r>
          </w:p>
        </w:tc>
        <w:tc>
          <w:tcPr>
            <w:tcW w:w="120" w:type="dxa"/>
            <w:tcBorders/>
            <w:vAlign w:val="bottom"/>
          </w:tcPr>
          <w:p>
            <w:pPr>
              <w:pStyle w:val="TableContents"/>
              <w:bidi w:val="0"/>
              <w:spacing w:before="0" w:after="283"/>
              <w:jc w:val="left"/>
              <w:rPr/>
            </w:pPr>
            <w:r>
              <w:rPr/>
              <w:t>  </w:t>
            </w:r>
          </w:p>
        </w:tc>
        <w:tc>
          <w:tcPr>
            <w:tcW w:w="8428" w:type="dxa"/>
            <w:tcBorders/>
          </w:tcPr>
          <w:p>
            <w:pPr>
              <w:pStyle w:val="TableContents"/>
              <w:bidi w:val="0"/>
              <w:spacing w:before="0" w:after="283"/>
              <w:jc w:val="left"/>
              <w:rPr/>
            </w:pPr>
            <w:r>
              <w:rPr/>
              <w:t xml:space="preserve">T: +1.713.223.2300 F: +1.800.404.3970 </w:t>
              <w:br/>
              <w:t xml:space="preserve">711 Louisiana Street, Suite 2300, Houston, Texas 77002-2770 </w:t>
              <w:br/>
              <w:t>bracewell.com</w:t>
            </w:r>
          </w:p>
        </w:tc>
      </w:tr>
    </w:tbl>
    <w:p>
      <w:pPr>
        <w:pStyle w:val="TextBody"/>
        <w:bidi w:val="0"/>
        <w:spacing w:before="240" w:after="0"/>
        <w:jc w:val="left"/>
        <w:rPr>
          <w:rFonts w:ascii="Times New Roman" w:hAnsi="Times New Roman"/>
          <w:sz w:val="16"/>
        </w:rPr>
      </w:pPr>
      <w:r>
        <w:rPr>
          <w:rFonts w:ascii="Times New Roman" w:hAnsi="Times New Roman"/>
          <w:sz w:val="16"/>
        </w:rPr>
        <w:t xml:space="preserve">AUSTIN   CONNECTICUT   DALLAS   DUBAI   HOUSTON   LONDON   NEW  YORK   SAN ANTONIO   SEATTLE   WASHINGTON, DC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790700"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1790700" cy="1905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Drilling Tools International Corporation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with the Commission as Exhibit 5.1 to the Registration Statement. By giving such consent, we do not admit that we are in the category of persons whose consent is required under Section 7 of the Securities Act or the rules and regulations promulgated by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Bracewell LLP </w:t>
      </w:r>
    </w:p>
    <w:p>
      <w:pPr>
        <w:pStyle w:val="TextBody"/>
        <w:bidi w:val="0"/>
        <w:spacing w:before="0" w:after="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AUSTIN   CONNECTICUT   DALLAS   DUBAI   HOUSTON   LONDON   NEW  YORK   SAN ANTONIO   SEATTLE   WASHINGTON, DC </w:t>
      </w:r>
    </w:p>
    <w:p>
      <w:pPr>
        <w:pStyle w:val="TextBody"/>
        <w:bidi w:val="0"/>
        <w:spacing w:before="0" w:after="0"/>
        <w:jc w:val="right"/>
        <w:rPr>
          <w:rFonts w:ascii="Times New Roman" w:hAnsi="Times New Roman"/>
          <w:b/>
          <w:sz w:val="20"/>
        </w:rPr>
      </w:pPr>
      <w:bookmarkStart w:id="5" w:name="d527484dex231.htm"/>
      <w:bookmarkStart w:id="6" w:name="ksd527484dex231"/>
      <w:bookmarkEnd w:id="5"/>
      <w:bookmarkEnd w:id="6"/>
      <w:r>
        <w:rPr>
          <w:rFonts w:ascii="Times New Roman" w:hAnsi="Times New Roman"/>
          <w:b/>
          <w:sz w:val="20"/>
        </w:rPr>
        <w:t xml:space="preserve">Exhibit 23.1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266950"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266950" cy="6667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of our report dated March 31, 2023, relating to the consolidated financial statements of Drilling Tools International Holdings, Inc. for the year ended December 31, 2022. </w:t>
      </w:r>
    </w:p>
    <w:p>
      <w:pPr>
        <w:pStyle w:val="TextBody"/>
        <w:bidi w:val="0"/>
        <w:spacing w:before="240" w:after="0"/>
        <w:jc w:val="left"/>
        <w:rPr>
          <w:rFonts w:ascii="Times New Roman" w:hAnsi="Times New Roman"/>
          <w:sz w:val="20"/>
        </w:rPr>
      </w:pPr>
      <w:r>
        <w:rPr>
          <w:rFonts w:ascii="Times New Roman" w:hAnsi="Times New Roman"/>
          <w:sz w:val="20"/>
          <w:u w:val="single"/>
        </w:rPr>
        <w:t>/s/ WEAVER AND TIDWELL, L.L.P.</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WEAVER AND TIDWELL, L.L.P. </w:t>
      </w:r>
    </w:p>
    <w:p>
      <w:pPr>
        <w:pStyle w:val="TextBody"/>
        <w:bidi w:val="0"/>
        <w:spacing w:before="240" w:after="0"/>
        <w:jc w:val="left"/>
        <w:rPr>
          <w:rFonts w:ascii="Times New Roman" w:hAnsi="Times New Roman"/>
          <w:sz w:val="20"/>
        </w:rPr>
      </w:pPr>
      <w:r>
        <w:rPr>
          <w:rFonts w:ascii="Times New Roman" w:hAnsi="Times New Roman"/>
          <w:sz w:val="20"/>
        </w:rPr>
        <w:t xml:space="preserve">Oklahoma City, Oklahoma </w:t>
      </w:r>
    </w:p>
    <w:p>
      <w:pPr>
        <w:pStyle w:val="TextBody"/>
        <w:bidi w:val="0"/>
        <w:spacing w:before="0" w:after="0"/>
        <w:jc w:val="left"/>
        <w:rPr>
          <w:rFonts w:ascii="Times New Roman" w:hAnsi="Times New Roman"/>
          <w:sz w:val="20"/>
        </w:rPr>
      </w:pPr>
      <w:r>
        <w:rPr>
          <w:rFonts w:ascii="Times New Roman" w:hAnsi="Times New Roman"/>
          <w:sz w:val="20"/>
        </w:rPr>
        <w:t xml:space="preserve">August 28, 2023 </w:t>
      </w:r>
    </w:p>
    <w:p>
      <w:pPr>
        <w:pStyle w:val="TextBody"/>
        <w:bidi w:val="0"/>
        <w:spacing w:before="240" w:after="0"/>
        <w:jc w:val="right"/>
        <w:rPr>
          <w:rFonts w:ascii="Times New Roman" w:hAnsi="Times New Roman"/>
          <w:sz w:val="20"/>
        </w:rPr>
      </w:pPr>
      <w:r>
        <w:rPr>
          <w:rFonts w:ascii="Times New Roman" w:hAnsi="Times New Roman"/>
          <w:sz w:val="20"/>
        </w:rPr>
        <w:t xml:space="preserve">Weaver and Tidwell, L.L.P. </w:t>
      </w:r>
    </w:p>
    <w:p>
      <w:pPr>
        <w:pStyle w:val="TextBody"/>
        <w:bidi w:val="0"/>
        <w:spacing w:before="0" w:after="0"/>
        <w:jc w:val="right"/>
        <w:rPr>
          <w:rFonts w:ascii="Times New Roman" w:hAnsi="Times New Roman"/>
          <w:sz w:val="20"/>
        </w:rPr>
      </w:pPr>
      <w:r>
        <w:rPr>
          <w:rFonts w:ascii="Times New Roman" w:hAnsi="Times New Roman"/>
          <w:sz w:val="20"/>
        </w:rPr>
        <w:t xml:space="preserve">499 West Sheridan Avenue, Suite 2450 | Oklahoma City, OK 73102 </w:t>
      </w:r>
    </w:p>
    <w:p>
      <w:pPr>
        <w:pStyle w:val="TextBody"/>
        <w:bidi w:val="0"/>
        <w:spacing w:before="0" w:after="0"/>
        <w:jc w:val="right"/>
        <w:rPr>
          <w:rFonts w:ascii="Times New Roman" w:hAnsi="Times New Roman"/>
          <w:sz w:val="20"/>
        </w:rPr>
      </w:pPr>
      <w:r>
        <w:rPr>
          <w:rFonts w:ascii="Times New Roman" w:hAnsi="Times New Roman"/>
          <w:sz w:val="20"/>
        </w:rPr>
        <w:t xml:space="preserve">Main: 405.594.9200 </w:t>
      </w:r>
    </w:p>
    <w:p>
      <w:pPr>
        <w:pStyle w:val="TextBody"/>
        <w:bidi w:val="0"/>
        <w:spacing w:before="0" w:after="0"/>
        <w:jc w:val="right"/>
        <w:rPr>
          <w:rFonts w:ascii="Times New Roman" w:hAnsi="Times New Roman"/>
          <w:b/>
          <w:color w:val="FF4338"/>
          <w:sz w:val="20"/>
        </w:rPr>
      </w:pPr>
      <w:r>
        <w:rPr>
          <w:rFonts w:ascii="Times New Roman" w:hAnsi="Times New Roman"/>
          <w:b/>
          <w:color w:val="FF4338"/>
          <w:sz w:val="20"/>
        </w:rPr>
        <w:t xml:space="preserve">CPAs AND ADVISORS | WEAVER.COM </w:t>
      </w:r>
    </w:p>
    <w:p>
      <w:pPr>
        <w:pStyle w:val="TextBody"/>
        <w:bidi w:val="0"/>
        <w:spacing w:before="0" w:after="0"/>
        <w:jc w:val="right"/>
        <w:rPr>
          <w:rFonts w:ascii="Times New Roman" w:hAnsi="Times New Roman"/>
          <w:b/>
          <w:sz w:val="20"/>
        </w:rPr>
      </w:pPr>
      <w:bookmarkStart w:id="7" w:name="d527484dex232.htm"/>
      <w:bookmarkStart w:id="8" w:name="ksd527484dex232"/>
      <w:bookmarkEnd w:id="7"/>
      <w:bookmarkEnd w:id="8"/>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our report dated March 20, 2023, relating to the financial statements of ROC Energy Acquisition Corp.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vAlign w:val="bottom"/>
          </w:tcPr>
          <w:p>
            <w:pPr>
              <w:pStyle w:val="TableContents"/>
              <w:bidi w:val="0"/>
              <w:spacing w:before="0" w:after="283"/>
              <w:jc w:val="left"/>
              <w:rPr>
                <w:b/>
              </w:rPr>
            </w:pPr>
            <w:r>
              <w:rPr>
                <w:b/>
              </w:rPr>
              <w:t>/s/ WithumSmith+Brown, PC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New York, New York</w:t>
            </w:r>
          </w:p>
        </w:tc>
      </w:tr>
      <w:tr>
        <w:trPr/>
        <w:tc>
          <w:tcPr>
            <w:tcW w:w="4082" w:type="dxa"/>
            <w:tcBorders/>
            <w:vAlign w:val="bottom"/>
          </w:tcPr>
          <w:p>
            <w:pPr>
              <w:pStyle w:val="TableContents"/>
              <w:bidi w:val="0"/>
              <w:spacing w:before="0" w:after="283"/>
              <w:jc w:val="left"/>
              <w:rPr/>
            </w:pPr>
            <w:r>
              <w:rPr/>
              <w:t>August 28, 2023</w:t>
            </w:r>
          </w:p>
        </w:tc>
      </w:tr>
    </w:tbl>
    <w:p>
      <w:pPr>
        <w:pStyle w:val="TextBody"/>
        <w:bidi w:val="0"/>
        <w:spacing w:before="0" w:after="0"/>
        <w:jc w:val="right"/>
        <w:rPr>
          <w:rFonts w:ascii="Times New Roman" w:hAnsi="Times New Roman"/>
          <w:b/>
          <w:sz w:val="20"/>
        </w:rPr>
      </w:pPr>
      <w:bookmarkStart w:id="9" w:name="d527484dexfilingfees.htm"/>
      <w:bookmarkStart w:id="10" w:name="ksd527484dexfilingfees"/>
      <w:bookmarkEnd w:id="9"/>
      <w:bookmarkEnd w:id="10"/>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 </w:t>
      </w:r>
    </w:p>
    <w:p>
      <w:pPr>
        <w:pStyle w:val="TextBody"/>
        <w:bidi w:val="0"/>
        <w:spacing w:before="240" w:after="0"/>
        <w:jc w:val="center"/>
        <w:rPr>
          <w:rFonts w:ascii="Times New Roman" w:hAnsi="Times New Roman"/>
          <w:b/>
          <w:sz w:val="20"/>
        </w:rPr>
      </w:pPr>
      <w:r>
        <w:rPr>
          <w:rFonts w:ascii="Times New Roman" w:hAnsi="Times New Roman"/>
          <w:b/>
          <w:sz w:val="20"/>
        </w:rPr>
        <w:t xml:space="preserve">Form S-8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Drilling Tools International Corporation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Securities </w:t>
      </w:r>
    </w:p>
    <w:p>
      <w:pPr>
        <w:pStyle w:val="TextBody"/>
        <w:bidi w:val="0"/>
        <w:spacing w:before="0" w:after="0"/>
        <w:jc w:val="left"/>
        <w:rPr/>
      </w:pPr>
      <w:r>
        <w:rPr/>
        <w:t> </w:t>
      </w:r>
    </w:p>
    <w:tbl>
      <w:tblPr>
        <w:tblW w:w="9955" w:type="dxa"/>
        <w:jc w:val="center"/>
        <w:tblInd w:w="0" w:type="dxa"/>
        <w:tblLayout w:type="fixed"/>
        <w:tblCellMar>
          <w:top w:w="0" w:type="dxa"/>
          <w:left w:w="0" w:type="dxa"/>
          <w:bottom w:w="0" w:type="dxa"/>
          <w:right w:w="0" w:type="dxa"/>
        </w:tblCellMar>
      </w:tblPr>
      <w:tblGrid>
        <w:gridCol w:w="800"/>
        <w:gridCol w:w="60"/>
        <w:gridCol w:w="2000"/>
        <w:gridCol w:w="60"/>
        <w:gridCol w:w="1100"/>
        <w:gridCol w:w="60"/>
        <w:gridCol w:w="1100"/>
        <w:gridCol w:w="60"/>
        <w:gridCol w:w="995"/>
        <w:gridCol w:w="60"/>
        <w:gridCol w:w="1220"/>
        <w:gridCol w:w="60"/>
        <w:gridCol w:w="1160"/>
        <w:gridCol w:w="60"/>
        <w:gridCol w:w="116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vAlign w:val="bottom"/>
          </w:tcPr>
          <w:p>
            <w:pPr>
              <w:pStyle w:val="TableContents"/>
              <w:bidi w:val="0"/>
              <w:spacing w:before="0" w:after="283"/>
              <w:jc w:val="center"/>
              <w:rPr/>
            </w:pPr>
            <w:r>
              <w:rPr/>
              <w:t>Security 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Fee</w:t>
              <w:br/>
              <w:t>Calculation</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Amount</w:t>
              <w:b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br/>
              <w:t>Aggregate</w:t>
              <w:b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Amount of</w:t>
              <w:br/>
              <w:t>Registration</w:t>
              <w:br/>
              <w:t>Fee</w:t>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center"/>
              <w:rPr/>
            </w:pPr>
            <w:r>
              <w:rPr/>
              <w:t> </w:t>
            </w:r>
            <w:r>
              <w:rPr/>
              <w:t>Common stock, par  value $0.0001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Other(2)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2,221,594(3)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$3.72(4)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center"/>
              <w:rPr/>
            </w:pPr>
            <w:r>
              <w:rPr/>
              <w:t>$8,264,330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$110.20 per $1,000,000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$911</w:t>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center"/>
              <w:rPr/>
            </w:pPr>
            <w:r>
              <w:rPr/>
              <w:t> </w:t>
            </w:r>
            <w:r>
              <w:rPr/>
              <w:t>Common stock, par  value $0.0001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Other(2)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140,136(3)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$8.76(4)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center"/>
              <w:rPr/>
            </w:pPr>
            <w:r>
              <w:rPr/>
              <w:t>$1,227,591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$110.20 per $1,000,000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$135</w:t>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center"/>
              <w:rPr/>
            </w:pPr>
            <w:r>
              <w:rPr/>
              <w:t>Common stock, par value $0.0001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Other(5)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2,976,857(6)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$4.09(7)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center"/>
              <w:rPr/>
            </w:pPr>
            <w:r>
              <w:rPr/>
              <w:t>$12,163,438</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$110.20 per $1,000,000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$1,341</w:t>
            </w:r>
          </w:p>
        </w:tc>
      </w:tr>
      <w:tr>
        <w:trPr>
          <w:trHeight w:val="15" w:hRule="atLeast"/>
        </w:trPr>
        <w:tc>
          <w:tcPr>
            <w:tcW w:w="518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180" w:type="dxa"/>
            <w:gridSpan w:val="7"/>
            <w:tcBorders>
              <w:left w:val="single" w:sz="2" w:space="0" w:color="000000"/>
            </w:tcBorders>
            <w:tcMar>
              <w:left w:w="160" w:type="dxa"/>
            </w:tcMar>
          </w:tcPr>
          <w:p>
            <w:pPr>
              <w:pStyle w:val="TableContents"/>
              <w:bidi w:val="0"/>
              <w:spacing w:before="0" w:after="283"/>
              <w:jc w:val="center"/>
              <w:rPr>
                <w:b/>
              </w:rPr>
            </w:pPr>
            <w:r>
              <w:rPr>
                <w:b/>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$2,387</w:t>
            </w:r>
          </w:p>
        </w:tc>
      </w:tr>
      <w:tr>
        <w:trPr>
          <w:trHeight w:val="15" w:hRule="atLeast"/>
        </w:trPr>
        <w:tc>
          <w:tcPr>
            <w:tcW w:w="518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180" w:type="dxa"/>
            <w:gridSpan w:val="7"/>
            <w:tcBorders>
              <w:left w:val="single" w:sz="2" w:space="0" w:color="000000"/>
            </w:tcBorders>
            <w:tcMar>
              <w:left w:w="160" w:type="dxa"/>
            </w:tcMar>
          </w:tcPr>
          <w:p>
            <w:pPr>
              <w:pStyle w:val="TableContents"/>
              <w:bidi w:val="0"/>
              <w:spacing w:before="0" w:after="283"/>
              <w:jc w:val="center"/>
              <w:rPr>
                <w:b/>
              </w:rPr>
            </w:pPr>
            <w:r>
              <w:rPr>
                <w:b/>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518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180"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center"/>
              <w:rPr>
                <w:b/>
              </w:rPr>
            </w:pPr>
            <w:r>
              <w:rPr>
                <w:b/>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$2,387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416(a) under the Securities Act, this registration statement shall be deemed to register any additional shares of common stock of the Registrant (Common Stock) that become issuable under the Registrants 2023 Omnibus Incentive Plan (the Plan) by reason of any stock split, stock dividend or similar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457(h).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Common Stock underlying stock options granted pursuant to the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exercise price for outstanding options granted pursuant to the Plan as of the date of this registration statement.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Rules 457(c) and Rule 457(h).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Common Stock reserved for issuance to participants pursuant to the Plan, including but not limited to stock awards, stock options, stock appreciation rights, restricted stock, restricted stock units, performance-based awards and other stock-based awards.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based on the average of the high and low prices of the Common Stock on the Nasdaq Capital Market on August 25, 2023 (such date being within five business days of the date that this registration statement was filed with the SEC).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84516/000110465923059884/tm236205-20_424b3.htm" TargetMode="External"/><Relationship Id="rId3" Type="http://schemas.openxmlformats.org/officeDocument/2006/relationships/hyperlink" Target="http://www.sec.gov/Archives/edgar/data/../../../ix?doc=/Archives/edgar/data/1884516/000141057823000305/rocau-20221231x10k.htm" TargetMode="External"/><Relationship Id="rId4" Type="http://schemas.openxmlformats.org/officeDocument/2006/relationships/hyperlink" Target="http://www.sec.gov/Archives/edgar/data/../../../ix?doc=/Archives/edgar/data/1884516/000141057823001344/rocau-20230331x10q.htm" TargetMode="External"/><Relationship Id="rId5" Type="http://schemas.openxmlformats.org/officeDocument/2006/relationships/hyperlink" Target="http://www.sec.gov/Archives/edgar/data/../../../ix?doc=/Archives/edgar/data/1884516/000095017023042141/dti-20230630.htm" TargetMode="External"/><Relationship Id="rId6" Type="http://schemas.openxmlformats.org/officeDocument/2006/relationships/hyperlink" Target="http://www.sec.gov/Archives/edgar/data/../../../ix?doc=/Archives/edgar/data/1884516/000110465923005399/tm234064d1_8k.htm" TargetMode="External"/><Relationship Id="rId7" Type="http://schemas.openxmlformats.org/officeDocument/2006/relationships/hyperlink" Target="http://www.sec.gov/Archives/edgar/data/../../../ix?doc=/Archives/edgar/data/1884516/000110465923020480/tm236420d1_8k.htm" TargetMode="External"/><Relationship Id="rId8" Type="http://schemas.openxmlformats.org/officeDocument/2006/relationships/hyperlink" Target="http://www.sec.gov/Archives/edgar/data/../../../ix?doc=/Archives/edgar/data/1884516/000110465923028529/tm238505d2_8k.htm" TargetMode="External"/><Relationship Id="rId9" Type="http://schemas.openxmlformats.org/officeDocument/2006/relationships/hyperlink" Target="http://www.sec.gov/Archives/edgar/data/../../../ix?doc=/Archives/edgar/data/1884516/000110465923029614/tm238505d1_8k.htm" TargetMode="External"/><Relationship Id="rId10" Type="http://schemas.openxmlformats.org/officeDocument/2006/relationships/hyperlink" Target="http://www.sec.gov/Archives/edgar/data/../../../ix?doc=/Archives/edgar/data/1884516/000110465923066279/tm2317371d1_8k.htm" TargetMode="External"/><Relationship Id="rId11" Type="http://schemas.openxmlformats.org/officeDocument/2006/relationships/hyperlink" Target="http://www.sec.gov/Archives/edgar/data/../../../ix?doc=/Archives/edgar/data/1884516/000110465923068970/tm2318012d1_8k.htm" TargetMode="External"/><Relationship Id="rId12" Type="http://schemas.openxmlformats.org/officeDocument/2006/relationships/hyperlink" Target="http://www.sec.gov/Archives/edgar/data/../../../ix?doc=/Archives/edgar/data/1884516/000110465923069995/tm2317528d1_8k.htm" TargetMode="External"/><Relationship Id="rId13" Type="http://schemas.openxmlformats.org/officeDocument/2006/relationships/hyperlink" Target="http://www.sec.gov/Archives/edgar/data/../../../ix?doc=/Archives/edgar/data/1884516/000119312523175331/d498600d8k.htm" TargetMode="External"/><Relationship Id="rId14" Type="http://schemas.openxmlformats.org/officeDocument/2006/relationships/hyperlink" Target="http://www.sec.gov/Archives/edgar/data/1884516/000110465921144410/tm2130852d13_8a12b.htm" TargetMode="External"/><Relationship Id="rId15" Type="http://schemas.openxmlformats.org/officeDocument/2006/relationships/hyperlink" Target="http://www.sec.gov/Archives/edgar/data/1884516/000119312523175331/d498600dex41.htm" TargetMode="External"/><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4129</Words>
  <Characters>21808</Characters>
  <CharactersWithSpaces>26003</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