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6205d18_s4a.htm"/>
      <w:bookmarkStart w:id="1" w:name="kstm236205d18_s4a"/>
      <w:bookmarkEnd w:id="0"/>
      <w:bookmarkEnd w:id="1"/>
      <w:r>
        <w:rPr/>
        <w:t> </w:t>
      </w:r>
    </w:p>
    <w:p>
      <w:pPr>
        <w:pStyle w:val="TextBody"/>
        <w:jc w:val="center"/>
        <w:rPr>
          <w:b/>
        </w:rPr>
      </w:pPr>
      <w:r>
        <w:rPr>
          <w:b/>
        </w:rPr>
        <w:t>As filed with the Securities and Exchange Commission on May 11, 2023</w:t>
      </w:r>
    </w:p>
    <w:p>
      <w:pPr>
        <w:pStyle w:val="TextBody"/>
        <w:rPr/>
      </w:pPr>
      <w:r>
        <w:rPr/>
        <w:t> </w:t>
      </w:r>
    </w:p>
    <w:p>
      <w:pPr>
        <w:pStyle w:val="TextBody"/>
        <w:jc w:val="right"/>
        <w:rPr>
          <w:b/>
        </w:rPr>
      </w:pPr>
      <w:r>
        <w:rPr>
          <w:b/>
        </w:rPr>
        <w:t>Registration Statement No. 333-269763</w:t>
      </w:r>
    </w:p>
    <w:p>
      <w:pPr>
        <w:pStyle w:val="TextBody"/>
        <w:rPr>
          <w:bdr w:val="single" w:sz="16" w:space="1" w:color="000000"/>
        </w:rPr>
      </w:pPr>
      <w:r>
        <w:rPr>
          <w:bdr w:val="single" w:sz="16" w:space="1" w:color="000000"/>
        </w:rPr>
        <w:t> </w:t>
      </w:r>
    </w:p>
    <w:p>
      <w:pPr>
        <w:pStyle w:val="TextBody"/>
        <w:spacing w:before="0" w:after="0"/>
        <w:ind w:left="0" w:right="0" w:hanging="0"/>
        <w:jc w:val="center"/>
        <w:rPr>
          <w:caps w:val="false"/>
          <w:smallCaps w:val="false"/>
          <w:color w:val="231F20"/>
        </w:rPr>
      </w:pPr>
      <w:r>
        <w:rPr>
          <w:caps w:val="false"/>
          <w:smallCaps w:val="false"/>
          <w:color w:val="231F20"/>
        </w:rPr>
        <w:t> </w:t>
      </w:r>
    </w:p>
    <w:p>
      <w:pPr>
        <w:pStyle w:val="TextBody"/>
        <w:spacing w:before="0" w:after="0"/>
        <w:ind w:left="0" w:right="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UNITED STATES</w:t>
      </w:r>
    </w:p>
    <w:p>
      <w:pPr>
        <w:pStyle w:val="TextBody"/>
        <w:spacing w:before="0" w:after="0"/>
        <w:ind w:left="0" w:right="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Washington, D.C. 20549</w:t>
      </w:r>
    </w:p>
    <w:p>
      <w:pPr>
        <w:pStyle w:val="TextBody"/>
        <w:spacing w:before="0" w:after="0"/>
        <w:ind w:left="0" w:right="0" w:hanging="0"/>
        <w:jc w:val="center"/>
        <w:rPr>
          <w:caps w:val="false"/>
          <w:smallCaps w:val="false"/>
          <w:color w:val="231F20"/>
        </w:rPr>
      </w:pPr>
      <w:r>
        <w:rPr>
          <w:caps w:val="false"/>
          <w:smallCaps w:val="false"/>
          <w:color w:val="231F20"/>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Amendment No. 4 to</w:t>
      </w:r>
    </w:p>
    <w:p>
      <w:pPr>
        <w:pStyle w:val="TextBody"/>
        <w:spacing w:before="0" w:after="0"/>
        <w:ind w:left="0" w:right="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Form S-4</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REGISTRATION STATEMENT</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SECURITIES ACT OF 1933</w:t>
      </w:r>
    </w:p>
    <w:p>
      <w:pPr>
        <w:pStyle w:val="TextBody"/>
        <w:spacing w:before="0" w:after="0"/>
        <w:ind w:left="0" w:right="0" w:hanging="0"/>
        <w:jc w:val="center"/>
        <w:rPr>
          <w:caps w:val="false"/>
          <w:smallCaps w:val="false"/>
          <w:color w:val="231F20"/>
        </w:rPr>
      </w:pPr>
      <w:r>
        <w:rPr>
          <w:caps w:val="false"/>
          <w:smallCaps w:val="false"/>
          <w:color w:val="231F20"/>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ROC Energy Acquisition Corp.</w:t>
      </w:r>
    </w:p>
    <w:p>
      <w:pPr>
        <w:pStyle w:val="TextBody"/>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(Exact Name of Registrant as Specified in Its Charter)</w:t>
      </w:r>
    </w:p>
    <w:p>
      <w:pPr>
        <w:pStyle w:val="TextBody"/>
        <w:spacing w:before="0" w:after="0"/>
        <w:ind w:left="0" w:right="0" w:hanging="0"/>
        <w:jc w:val="center"/>
        <w:rPr>
          <w:caps w:val="false"/>
          <w:smallCaps w:val="false"/>
          <w:color w:val="231F20"/>
        </w:rPr>
      </w:pPr>
      <w:r>
        <w:rPr>
          <w:caps w:val="false"/>
          <w:smallCaps w:val="false"/>
          <w:color w:val="231F20"/>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6765" w:type="dxa"/>
        <w:jc w:val="left"/>
        <w:tblInd w:w="0" w:type="dxa"/>
        <w:tblCellMar>
          <w:top w:w="0" w:type="dxa"/>
          <w:left w:w="0" w:type="dxa"/>
          <w:bottom w:w="0" w:type="dxa"/>
          <w:right w:w="0" w:type="dxa"/>
        </w:tblCellMar>
      </w:tblPr>
      <w:tblGrid>
        <w:gridCol w:w="2495"/>
        <w:gridCol w:w="2375"/>
        <w:gridCol w:w="1895"/>
      </w:tblGrid>
      <w:tr>
        <w:trPr/>
        <w:tc>
          <w:tcPr>
            <w:tcW w:w="2495" w:type="dxa"/>
            <w:tcBorders/>
            <w:shd w:fill="auto" w:val="clear"/>
            <w:vAlign w:val="center"/>
          </w:tcPr>
          <w:p>
            <w:pPr>
              <w:pStyle w:val="TableContents"/>
              <w:spacing w:before="0" w:after="283"/>
              <w:jc w:val="center"/>
              <w:rPr>
                <w:b/>
                <w:sz w:val="20"/>
              </w:rPr>
            </w:pPr>
            <w:r>
              <w:rPr>
                <w:b/>
                <w:sz w:val="20"/>
              </w:rPr>
              <w:t>Delaware</w:t>
            </w:r>
          </w:p>
        </w:tc>
        <w:tc>
          <w:tcPr>
            <w:tcW w:w="2375" w:type="dxa"/>
            <w:tcBorders/>
            <w:shd w:fill="auto" w:val="clear"/>
            <w:vAlign w:val="center"/>
          </w:tcPr>
          <w:p>
            <w:pPr>
              <w:pStyle w:val="TableContents"/>
              <w:spacing w:before="0" w:after="283"/>
              <w:jc w:val="center"/>
              <w:rPr>
                <w:b/>
                <w:sz w:val="20"/>
              </w:rPr>
            </w:pPr>
            <w:r>
              <w:rPr>
                <w:b/>
                <w:sz w:val="20"/>
              </w:rPr>
              <w:t>6770</w:t>
            </w:r>
          </w:p>
        </w:tc>
        <w:tc>
          <w:tcPr>
            <w:tcW w:w="1895" w:type="dxa"/>
            <w:tcBorders/>
            <w:shd w:fill="auto" w:val="clear"/>
            <w:vAlign w:val="center"/>
          </w:tcPr>
          <w:p>
            <w:pPr>
              <w:pStyle w:val="TableContents"/>
              <w:spacing w:before="0" w:after="283"/>
              <w:jc w:val="center"/>
              <w:rPr>
                <w:b/>
                <w:sz w:val="20"/>
              </w:rPr>
            </w:pPr>
            <w:r>
              <w:rPr>
                <w:b/>
                <w:sz w:val="20"/>
              </w:rPr>
              <w:t>87-2488708</w:t>
            </w:r>
          </w:p>
        </w:tc>
      </w:tr>
      <w:tr>
        <w:trPr/>
        <w:tc>
          <w:tcPr>
            <w:tcW w:w="2495" w:type="dxa"/>
            <w:tcBorders/>
            <w:shd w:fill="auto" w:val="clear"/>
            <w:vAlign w:val="center"/>
          </w:tcPr>
          <w:p>
            <w:pPr>
              <w:pStyle w:val="TableContents"/>
              <w:spacing w:before="0" w:after="283"/>
              <w:jc w:val="center"/>
              <w:rPr>
                <w:sz w:val="20"/>
              </w:rPr>
            </w:pPr>
            <w:r>
              <w:rPr>
                <w:sz w:val="20"/>
              </w:rPr>
              <w:t xml:space="preserve">(State or other jurisdiction of </w:t>
              <w:br/>
              <w:t>incorporation or organization)</w:t>
            </w:r>
          </w:p>
        </w:tc>
        <w:tc>
          <w:tcPr>
            <w:tcW w:w="2375" w:type="dxa"/>
            <w:tcBorders/>
            <w:shd w:fill="auto" w:val="clear"/>
            <w:vAlign w:val="center"/>
          </w:tcPr>
          <w:p>
            <w:pPr>
              <w:pStyle w:val="TableContents"/>
              <w:spacing w:before="0" w:after="283"/>
              <w:jc w:val="center"/>
              <w:rPr>
                <w:sz w:val="20"/>
              </w:rPr>
            </w:pPr>
            <w:r>
              <w:rPr>
                <w:sz w:val="20"/>
              </w:rPr>
              <w:t>(Primary Standard Industrial</w:t>
              <w:br/>
              <w:t>Classification Code Number)</w:t>
            </w:r>
          </w:p>
        </w:tc>
        <w:tc>
          <w:tcPr>
            <w:tcW w:w="1895" w:type="dxa"/>
            <w:tcBorders/>
            <w:shd w:fill="auto" w:val="clear"/>
            <w:vAlign w:val="center"/>
          </w:tcPr>
          <w:p>
            <w:pPr>
              <w:pStyle w:val="TableContents"/>
              <w:jc w:val="center"/>
              <w:rPr>
                <w:sz w:val="20"/>
              </w:rPr>
            </w:pPr>
            <w:r>
              <w:rPr>
                <w:sz w:val="20"/>
              </w:rPr>
              <w:t>(I.R.S. Employer</w:t>
            </w:r>
          </w:p>
          <w:p>
            <w:pPr>
              <w:pStyle w:val="TableContents"/>
              <w:spacing w:before="0" w:after="283"/>
              <w:jc w:val="center"/>
              <w:rPr>
                <w:sz w:val="20"/>
              </w:rPr>
            </w:pPr>
            <w:r>
              <w:rPr>
                <w:sz w:val="20"/>
              </w:rPr>
              <w:t>Identification Number)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16400 Dallas Parkway</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Dallas, TX 75248</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(972) 392-6180</w:t>
      </w:r>
    </w:p>
    <w:p>
      <w:pPr>
        <w:pStyle w:val="TextBody"/>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(Address, including zip code, and telephone number, including area code, of Registrant’s principal executive offices)</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Daniel Jeffrey Kimes</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Chief Executive Officer</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16400 Dallas Parkway</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Dallas, TX 75248</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(972) 392-6180</w:t>
      </w:r>
    </w:p>
    <w:p>
      <w:pPr>
        <w:pStyle w:val="TextBody"/>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(Name, address, including zip code, and telephone number, including area code, of agent for service)</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7425" w:type="dxa"/>
        <w:jc w:val="left"/>
        <w:tblInd w:w="0" w:type="dxa"/>
        <w:tblCellMar>
          <w:top w:w="0" w:type="dxa"/>
          <w:left w:w="0" w:type="dxa"/>
          <w:bottom w:w="0" w:type="dxa"/>
          <w:right w:w="0" w:type="dxa"/>
        </w:tblCellMar>
      </w:tblPr>
      <w:tblGrid>
        <w:gridCol w:w="2030"/>
        <w:gridCol w:w="3605"/>
        <w:gridCol w:w="1790"/>
      </w:tblGrid>
      <w:tr>
        <w:trPr/>
        <w:tc>
          <w:tcPr>
            <w:tcW w:w="203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283"/>
              <w:jc w:val="center"/>
              <w:rPr>
                <w:rFonts w:ascii="Times New Roman;Times;Serif" w:hAnsi="Times New Roman;Times;Serif"/>
                <w:b/>
                <w:i/>
                <w:color w:val="231F20"/>
                <w:sz w:val="20"/>
              </w:rPr>
            </w:pPr>
            <w:r>
              <w:rPr>
                <w:rFonts w:ascii="Times New Roman;Times;Serif" w:hAnsi="Times New Roman;Times;Serif"/>
                <w:b/>
                <w:i/>
                <w:color w:val="231F20"/>
                <w:sz w:val="20"/>
              </w:rPr>
              <w:t>Copies to:</w:t>
            </w:r>
          </w:p>
        </w:tc>
        <w:tc>
          <w:tcPr>
            <w:tcW w:w="179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Michael J. Blankenship</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R. Wayne Prejean</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William S. Anderson</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Winston &amp; Strawn LLP</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Drilling Tools International Holdings, Inc.</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Benjamin J. Martin</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800 Capitol Street</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3701 Briarpark Drive</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Troy L. Harder</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Suite 2400</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Suite 150</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Bracewell LLP</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Houston, TX 77002</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Houston, TX 77042</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711 Louisiana Street</w:t>
            </w:r>
          </w:p>
        </w:tc>
      </w:tr>
      <w:tr>
        <w:trPr/>
        <w:tc>
          <w:tcPr>
            <w:tcW w:w="203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(713) 651-2678</w:t>
            </w:r>
          </w:p>
        </w:tc>
        <w:tc>
          <w:tcPr>
            <w:tcW w:w="3605"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(972) 392-6180</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Suite 2300</w:t>
            </w:r>
          </w:p>
        </w:tc>
      </w:tr>
      <w:tr>
        <w:trPr/>
        <w:tc>
          <w:tcPr>
            <w:tcW w:w="203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Houston, TX 77002</w:t>
            </w:r>
          </w:p>
        </w:tc>
      </w:tr>
      <w:tr>
        <w:trPr/>
        <w:tc>
          <w:tcPr>
            <w:tcW w:w="2030" w:type="dxa"/>
            <w:tcBorders/>
            <w:shd w:fill="auto" w:val="clear"/>
            <w:vAlign w:val="center"/>
          </w:tcPr>
          <w:p>
            <w:pPr>
              <w:pStyle w:val="TableContents"/>
              <w:spacing w:before="0" w:after="283"/>
              <w:rPr/>
            </w:pPr>
            <w:r>
              <w:rPr/>
              <w:t> </w:t>
            </w:r>
          </w:p>
        </w:tc>
        <w:tc>
          <w:tcPr>
            <w:tcW w:w="3605"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(713) 223 2300</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Approximate date of commencement of proposed sale of the securities to the public: </w:t>
      </w:r>
      <w:r>
        <w:rPr>
          <w:rFonts w:ascii="Times New Roman;Times;Serif" w:hAnsi="Times New Roman;Times;Serif"/>
          <w:b w:val="false"/>
          <w:i w:val="false"/>
          <w:caps w:val="false"/>
          <w:smallCaps w:val="false"/>
          <w:color w:val="231F20"/>
          <w:sz w:val="20"/>
        </w:rPr>
        <w:t>As soon as practicable after this Registration Statement becomes effective and on completion of the business combination described in the enclosed proxy statement/prospectus/consent solicitation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securities being registered on this Form are being offered in connection with the formation of a holding company and there is compliance with General Instruction G,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655" w:type="dxa"/>
        <w:jc w:val="left"/>
        <w:tblInd w:w="0" w:type="dxa"/>
        <w:tblCellMar>
          <w:top w:w="0" w:type="dxa"/>
          <w:left w:w="0" w:type="dxa"/>
          <w:bottom w:w="0" w:type="dxa"/>
          <w:right w:w="0" w:type="dxa"/>
        </w:tblCellMar>
      </w:tblPr>
      <w:tblGrid>
        <w:gridCol w:w="1835"/>
        <w:gridCol w:w="290"/>
        <w:gridCol w:w="2225"/>
        <w:gridCol w:w="305"/>
      </w:tblGrid>
      <w:tr>
        <w:trPr/>
        <w:tc>
          <w:tcPr>
            <w:tcW w:w="1835" w:type="dxa"/>
            <w:tcBorders/>
            <w:shd w:fill="auto" w:val="clear"/>
            <w:vAlign w:val="center"/>
          </w:tcPr>
          <w:p>
            <w:pPr>
              <w:pStyle w:val="TableContents"/>
              <w:spacing w:before="0" w:after="283"/>
              <w:ind w:left="0" w:right="0" w:hanging="0"/>
              <w:jc w:val="center"/>
              <w:rPr>
                <w:rFonts w:ascii="Times New Roman;Times;Serif" w:hAnsi="Times New Roman;Times;Serif"/>
                <w:color w:val="231F20"/>
                <w:sz w:val="20"/>
              </w:rPr>
            </w:pPr>
            <w:r>
              <w:rPr>
                <w:rFonts w:ascii="Times New Roman;Times;Serif" w:hAnsi="Times New Roman;Times;Serif"/>
                <w:color w:val="231F20"/>
                <w:sz w:val="20"/>
              </w:rPr>
              <w:t>Large accelerated filer</w:t>
            </w:r>
          </w:p>
        </w:tc>
        <w:tc>
          <w:tcPr>
            <w:tcW w:w="29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Accelerated filer</w:t>
            </w:r>
          </w:p>
        </w:tc>
        <w:tc>
          <w:tcPr>
            <w:tcW w:w="305" w:type="dxa"/>
            <w:tcBorders/>
            <w:shd w:fill="auto" w:val="clear"/>
            <w:vAlign w:val="center"/>
          </w:tcPr>
          <w:p>
            <w:pPr>
              <w:pStyle w:val="TableContents"/>
              <w:spacing w:before="0" w:after="283"/>
              <w:ind w:left="0" w:right="0" w:hanging="180"/>
              <w:jc w:val="left"/>
              <w:rPr/>
            </w:pPr>
            <w:r>
              <w:rPr/>
              <w:t> ☐</w:t>
            </w:r>
          </w:p>
        </w:tc>
      </w:tr>
      <w:tr>
        <w:trPr/>
        <w:tc>
          <w:tcPr>
            <w:tcW w:w="1835" w:type="dxa"/>
            <w:tcBorders/>
            <w:shd w:fill="auto" w:val="cle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Non-accelerated filer</w:t>
            </w:r>
          </w:p>
        </w:tc>
        <w:tc>
          <w:tcPr>
            <w:tcW w:w="290" w:type="dxa"/>
            <w:tcBorders/>
            <w:shd w:fill="auto" w:val="clear"/>
            <w:vAlign w:val="center"/>
          </w:tcPr>
          <w:p>
            <w:pPr>
              <w:pStyle w:val="TableContents"/>
              <w:spacing w:before="0" w:after="283"/>
              <w:rPr>
                <w:color w:val="231F20"/>
              </w:rPr>
            </w:pPr>
            <w:r>
              <w:rPr>
                <w:color w:val="231F20"/>
              </w:rPr>
              <w:t> ☒</w:t>
            </w:r>
          </w:p>
        </w:tc>
        <w:tc>
          <w:tcPr>
            <w:tcW w:w="2225"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Smaller reporting company</w:t>
            </w:r>
          </w:p>
        </w:tc>
        <w:tc>
          <w:tcPr>
            <w:tcW w:w="305" w:type="dxa"/>
            <w:tcBorders/>
            <w:shd w:fill="auto" w:val="clear"/>
            <w:vAlign w:val="center"/>
          </w:tcPr>
          <w:p>
            <w:pPr>
              <w:pStyle w:val="TableContents"/>
              <w:spacing w:before="0" w:after="283"/>
              <w:jc w:val="left"/>
              <w:rPr>
                <w:color w:val="231F20"/>
              </w:rPr>
            </w:pPr>
            <w:r>
              <w:rPr>
                <w:color w:val="231F20"/>
              </w:rPr>
              <w:t> ☒</w:t>
            </w:r>
          </w:p>
        </w:tc>
      </w:tr>
      <w:tr>
        <w:trPr/>
        <w:tc>
          <w:tcPr>
            <w:tcW w:w="183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Emerging growth company</w:t>
            </w:r>
          </w:p>
        </w:tc>
        <w:tc>
          <w:tcPr>
            <w:tcW w:w="305" w:type="dxa"/>
            <w:tcBorders/>
            <w:shd w:fill="auto" w:val="clear"/>
            <w:vAlign w:val="center"/>
          </w:tcPr>
          <w:p>
            <w:pPr>
              <w:pStyle w:val="TableContents"/>
              <w:spacing w:before="0" w:after="283"/>
              <w:jc w:val="left"/>
              <w:rPr>
                <w:color w:val="231F20"/>
              </w:rPr>
            </w:pPr>
            <w:r>
              <w:rPr>
                <w:color w:val="231F20"/>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applicable, place an X in the box to designate the appropriate rule provision relied upon in conducting this transaction:</w:t>
      </w:r>
    </w:p>
    <w:p>
      <w:pPr>
        <w:pStyle w:val="TextBody"/>
        <w:spacing w:before="0" w:after="0"/>
        <w:ind w:left="360" w:right="0" w:hanging="0"/>
        <w:rPr>
          <w:caps w:val="false"/>
          <w:smallCaps w:val="false"/>
          <w:color w:val="231F20"/>
        </w:rPr>
      </w:pPr>
      <w:r>
        <w:rPr>
          <w:caps w:val="false"/>
          <w:smallCaps w:val="false"/>
          <w:color w:val="231F20"/>
        </w:rPr>
        <w:t> </w:t>
      </w:r>
    </w:p>
    <w:p>
      <w:pPr>
        <w:pStyle w:val="TextBody"/>
        <w:spacing w:before="0" w:after="0"/>
        <w:ind w:left="36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Act Rule 13e-4(i) (Cross-Border Issuer Tender Offer) ☐</w:t>
      </w:r>
    </w:p>
    <w:p>
      <w:pPr>
        <w:pStyle w:val="TextBody"/>
        <w:spacing w:before="0" w:after="0"/>
        <w:ind w:left="360" w:right="0" w:hanging="0"/>
        <w:rPr>
          <w:caps w:val="false"/>
          <w:smallCaps w:val="false"/>
          <w:color w:val="231F20"/>
        </w:rPr>
      </w:pPr>
      <w:r>
        <w:rPr>
          <w:caps w:val="false"/>
          <w:smallCaps w:val="false"/>
          <w:color w:val="231F20"/>
        </w:rPr>
        <w:t> </w:t>
      </w:r>
    </w:p>
    <w:p>
      <w:pPr>
        <w:pStyle w:val="TextBody"/>
        <w:spacing w:before="0" w:after="0"/>
        <w:ind w:left="36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Act Rule 14d-1(d) (Cross-Border Third-Party Tender Offer)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U.S. Securities and Exchange Commission, acting pursuant to said Section 8(a), may determine.</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 Energy Acquisition Corp. is filing this Amendment No. 4 to its registration statement on Form S-4 (File No. 333-269763) (the ‘‘Registration Statement”) as an exhibits-only filing. Accordingly, this amendment consists only of the facing page, this explanatory note, Item 21 of Part II of the Registration Statement, the signature page to the Registration Statement and the filed exhibits. The remainder of the Registration Statement is unchanged and has therefore been omitted.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INFORMATION NOT REQUIRED IN ROSPECTUS</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Item 21. Exhibits and Financial Statement Schedules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 Exhibits: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890"/>
        <w:gridCol w:w="60"/>
        <w:gridCol w:w="9589"/>
      </w:tblGrid>
      <w:tr>
        <w:trPr/>
        <w:tc>
          <w:tcPr>
            <w:tcW w:w="89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bottom w:val="single" w:sz="8" w:space="0" w:color="000000"/>
            </w:tcBorders>
            <w:shd w:fill="auto" w:val="clear"/>
            <w:tcMar>
              <w:bottom w:w="28" w:type="dxa"/>
            </w:tcMar>
            <w:vAlign w:val="center"/>
          </w:tcPr>
          <w:p>
            <w:pPr>
              <w:pStyle w:val="TableContents"/>
              <w:spacing w:before="0" w:after="283"/>
              <w:jc w:val="center"/>
              <w:rPr>
                <w:b/>
              </w:rPr>
            </w:pPr>
            <w:r>
              <w:rPr>
                <w:b/>
              </w:rPr>
              <w:t>Number</w:t>
            </w:r>
          </w:p>
        </w:tc>
        <w:tc>
          <w:tcPr>
            <w:tcW w:w="60" w:type="dxa"/>
            <w:tcBorders/>
            <w:shd w:fill="auto" w:val="clear"/>
            <w:vAlign w:val="center"/>
          </w:tcPr>
          <w:p>
            <w:pPr>
              <w:pStyle w:val="TableContents"/>
              <w:spacing w:before="0" w:after="283"/>
              <w:rPr/>
            </w:pPr>
            <w:r>
              <w:rPr/>
              <w:t> </w:t>
            </w:r>
          </w:p>
        </w:tc>
        <w:tc>
          <w:tcPr>
            <w:tcW w:w="958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auto" w:val="clear"/>
            <w:vAlign w:val="center"/>
          </w:tcPr>
          <w:p>
            <w:pPr>
              <w:pStyle w:val="TableContents"/>
              <w:spacing w:before="0" w:after="283"/>
              <w:jc w:val="center"/>
              <w:rPr/>
            </w:pPr>
            <w:r>
              <w:fldChar w:fldCharType="begin"/>
            </w:r>
            <w:r>
              <w:rPr>
                <w:rStyle w:val="InternetLink"/>
                <w:sz w:val="20"/>
                <w:rFonts w:ascii="Times New Roman;Times;Serif" w:hAnsi="Times New Roman;Times;Serif"/>
              </w:rPr>
              <w:instrText> HYPERLINK "https://www.sec.gov/Archives/edgar/data/1884516/000110465923057253/tm236205-15_s4a.htm" \l "tANNA"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2.1**</w:t>
            </w:r>
            <w:r>
              <w:rPr>
                <w:rStyle w:val="InternetLink"/>
                <w:sz w:val="20"/>
                <w:rFonts w:ascii="Times New Roman;Times;Serif" w:hAnsi="Times New Roman;Times;Serif"/>
              </w:rPr>
              <w:fldChar w:fldCharType="end"/>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"https://www.sec.gov/Archives/edgar/data/1884516/000110465923057253/tm236205-15_s4a.htm" \l "tANNA"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and Plan of Reorganization, dated as of February 13, 2023, by and among ROC Energy Acquisition Corp., Merger Sub and Drilling Tools International Holdings, Inc. (included as Annex A to the proxy statement/prospectus/consent solicitation statement included in this Registration Statement).</w:t>
            </w:r>
            <w:r>
              <w:rPr>
                <w:rStyle w:val="InternetLink"/>
                <w:sz w:val="20"/>
                <w:rFonts w:ascii="Times New Roman;Times;Serif" w:hAnsi="Times New Roman;Times;Serif"/>
              </w:rPr>
              <w:fldChar w:fldCharType="end"/>
            </w:r>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2">
              <w:r>
                <w:rPr>
                  <w:rStyle w:val="InternetLink"/>
                  <w:rFonts w:ascii="Times New Roman;Times;Serif" w:hAnsi="Times New Roman;Times;Serif"/>
                  <w:sz w:val="20"/>
                </w:rPr>
                <w:t>3.1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
              <w:r>
                <w:rPr>
                  <w:rStyle w:val="InternetLink"/>
                  <w:rFonts w:ascii="Times New Roman;Times;Serif" w:hAnsi="Times New Roman;Times;Serif"/>
                  <w:sz w:val="20"/>
                </w:rPr>
                <w:t>Amended and Restated Certificate of Incorporation of ROC Energy Acquisition Corp. (incorporated by reference to Exhibit 3.1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r>
              <w:fldChar w:fldCharType="begin"/>
            </w:r>
            <w:r>
              <w:rPr>
                <w:rStyle w:val="InternetLink"/>
                <w:sz w:val="20"/>
                <w:rFonts w:ascii="Times New Roman;Times;Serif" w:hAnsi="Times New Roman;Times;Serif"/>
              </w:rPr>
              <w:instrText> HYPERLINK "https://www.sec.gov/ix?doc=/Archives/edgar/data/1884516/000110465923040437/rocau-20221231xs4a.htm" \l "AnnexB_665645"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3.2 **</w:t>
            </w:r>
            <w:r>
              <w:rPr>
                <w:rStyle w:val="InternetLink"/>
                <w:sz w:val="20"/>
                <w:rFonts w:ascii="Times New Roman;Times;Serif" w:hAnsi="Times New Roman;Times;Serif"/>
              </w:rPr>
              <w:fldChar w:fldCharType="end"/>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"https://www.sec.gov/ix?doc=/Archives/edgar/data/1884516/000110465923040437/rocau-20221231xs4a.htm" \l "AnnexB_665645"</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Amended and Restated Certificate of Incorporation of PubCo (included as Annex B to the proxy statement/prospectus/consent solicitation statement included in this Registration Statement).</w:t>
            </w:r>
            <w:r>
              <w:rPr>
                <w:rStyle w:val="InternetLink"/>
                <w:sz w:val="20"/>
                <w:rFonts w:ascii="Times New Roman;Times;Serif" w:hAnsi="Times New Roman;Times;Serif"/>
              </w:rPr>
              <w:fldChar w:fldCharType="end"/>
            </w:r>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4">
              <w:r>
                <w:rPr>
                  <w:rStyle w:val="InternetLink"/>
                  <w:rFonts w:ascii="Times New Roman;Times;Serif" w:hAnsi="Times New Roman;Times;Serif"/>
                  <w:sz w:val="20"/>
                </w:rPr>
                <w:t>3.3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
              <w:r>
                <w:rPr>
                  <w:rStyle w:val="InternetLink"/>
                  <w:rFonts w:ascii="Times New Roman;Times;Serif" w:hAnsi="Times New Roman;Times;Serif"/>
                  <w:sz w:val="20"/>
                </w:rPr>
                <w:t>Bylaws of ROC Energy Acquisition Corp. (incorporated by reference to Exhibit 3.3 to ROC Energy Acquisition Corp.’s Registration Statement on Form S-1 (File No. 333-260891) filed with the SEC on November 9,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
              <w:r>
                <w:rPr>
                  <w:rStyle w:val="InternetLink"/>
                  <w:rFonts w:ascii="Times New Roman;Times;Serif" w:hAnsi="Times New Roman;Times;Serif"/>
                  <w:sz w:val="20"/>
                </w:rPr>
                <w:t>3.4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7">
              <w:r>
                <w:rPr>
                  <w:rStyle w:val="InternetLink"/>
                  <w:rFonts w:ascii="Times New Roman;Times;Serif" w:hAnsi="Times New Roman;Times;Serif"/>
                  <w:sz w:val="20"/>
                </w:rPr>
                <w:t>Form of Bylaws of PubCo (incorporated by reference to Exhibit 3.4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8">
              <w:r>
                <w:rPr>
                  <w:rStyle w:val="InternetLink"/>
                  <w:rFonts w:ascii="Times New Roman;Times;Serif" w:hAnsi="Times New Roman;Times;Serif"/>
                  <w:sz w:val="20"/>
                </w:rPr>
                <w:t>4.1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9">
              <w:r>
                <w:rPr>
                  <w:rStyle w:val="InternetLink"/>
                  <w:rFonts w:ascii="Times New Roman;Times;Serif" w:hAnsi="Times New Roman;Times;Serif"/>
                  <w:sz w:val="20"/>
                </w:rPr>
                <w:t>Specimen Unit Certificate of ROC Energy Acquisition Corp. (incorporated by reference to Exhibit 4.1 to ROC Energy Acquisition Corp.’s Registration Statement on Form S-1/A (File No. 333-260891) filed with the SEC on November 15,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10">
              <w:r>
                <w:rPr>
                  <w:rStyle w:val="InternetLink"/>
                  <w:rFonts w:ascii="Times New Roman;Times;Serif" w:hAnsi="Times New Roman;Times;Serif"/>
                  <w:sz w:val="20"/>
                </w:rPr>
                <w:t>4.2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11">
              <w:r>
                <w:rPr>
                  <w:rStyle w:val="InternetLink"/>
                  <w:rFonts w:ascii="Times New Roman;Times;Serif" w:hAnsi="Times New Roman;Times;Serif"/>
                  <w:sz w:val="20"/>
                </w:rPr>
                <w:t>Specimen Common Stock Certificate of ROC Energy Acquisition Corp. (incorporated by reference to Exhibit 4.2 to ROC Energy Acquisition Corp.’s Registration Statement on Form S-1/A (File No. 333-260891) filed with the SEC on November 15,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12">
              <w:r>
                <w:rPr>
                  <w:rStyle w:val="InternetLink"/>
                  <w:rFonts w:ascii="Times New Roman;Times;Serif" w:hAnsi="Times New Roman;Times;Serif"/>
                  <w:sz w:val="20"/>
                </w:rPr>
                <w:t>4.3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13">
              <w:r>
                <w:rPr>
                  <w:rStyle w:val="InternetLink"/>
                  <w:rFonts w:ascii="Times New Roman;Times;Serif" w:hAnsi="Times New Roman;Times;Serif"/>
                  <w:sz w:val="20"/>
                </w:rPr>
                <w:t>Specimen Rights Certificate of ROC Energy Acquisition Corp. (incorporated by reference to Exhibit 4.3 to ROC Energy Acquisition Corp.’s Registration Statement on Form S-1/A (File No. 333-260891) filed with the SEC on November 15,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14">
              <w:r>
                <w:rPr>
                  <w:rStyle w:val="InternetLink"/>
                  <w:rFonts w:ascii="Times New Roman;Times;Serif" w:hAnsi="Times New Roman;Times;Serif"/>
                  <w:sz w:val="20"/>
                </w:rPr>
                <w:t>4.4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15">
              <w:r>
                <w:rPr>
                  <w:rStyle w:val="InternetLink"/>
                  <w:rFonts w:ascii="Times New Roman;Times;Serif" w:hAnsi="Times New Roman;Times;Serif"/>
                  <w:sz w:val="20"/>
                </w:rPr>
                <w:t>Rights Agreement, dated December 1, 2021, by and between the Company and Continental Stock Transfer &amp; Trust Company, as rights agent (incorporated by reference to Exhibit 4.1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16">
              <w:r>
                <w:rPr>
                  <w:rStyle w:val="InternetLink"/>
                  <w:rFonts w:ascii="Times New Roman;Times;Serif" w:hAnsi="Times New Roman;Times;Serif"/>
                  <w:sz w:val="20"/>
                </w:rPr>
                <w:t>5.1**</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17">
              <w:r>
                <w:rPr>
                  <w:rStyle w:val="InternetLink"/>
                  <w:rFonts w:ascii="Times New Roman;Times;Serif" w:hAnsi="Times New Roman;Times;Serif"/>
                  <w:sz w:val="20"/>
                </w:rPr>
                <w:t>Opinion of Winston &amp; Strawn LLP with respect to the legality of the securities being registered (incorporated by reference to Exhibit 5.1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w:anchor="tm236205d18_ex8-1.htm">
              <w:r>
                <w:rPr>
                  <w:rStyle w:val="InternetLink"/>
                  <w:rFonts w:ascii="Times New Roman;Times;Serif" w:hAnsi="Times New Roman;Times;Serif"/>
                  <w:sz w:val="20"/>
                </w:rPr>
                <w:t>8.1</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w:anchor="tm236205d18_ex8-1.htm">
              <w:r>
                <w:rPr>
                  <w:rStyle w:val="InternetLink"/>
                  <w:rFonts w:ascii="Times New Roman;Times;Serif" w:hAnsi="Times New Roman;Times;Serif"/>
                  <w:sz w:val="20"/>
                </w:rPr>
                <w:t>Opinion of Bracewell LLP regarding certain U.S. tax matters.</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r>
              <w:fldChar w:fldCharType="begin"/>
            </w:r>
            <w:r>
              <w:rPr>
                <w:rStyle w:val="InternetLink"/>
                <w:sz w:val="20"/>
                <w:rFonts w:ascii="Times New Roman;Times;Serif" w:hAnsi="Times New Roman;Times;Serif"/>
              </w:rPr>
              <w:instrText> HYPERLINK "https://www.sec.gov/Archives/edgar/data/1884516/000110465923057253/tm236205-15_s4a.htm" \l "tANNC"</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10.1 †</w:t>
            </w:r>
            <w:r>
              <w:rPr>
                <w:rStyle w:val="InternetLink"/>
                <w:sz w:val="20"/>
                <w:rFonts w:ascii="Times New Roman;Times;Serif" w:hAnsi="Times New Roman;Times;Serif"/>
              </w:rPr>
              <w:fldChar w:fldCharType="end"/>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"https://www.sec.gov/Archives/edgar/data/1884516/000110465923057253/tm236205-15_s4a.htm" \l "tANNC"</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2023 Omnibus Incentive Plan (included as Annex C to the proxy statement/prospectus/ consent solicitation statement included in this Registration Statement).</w:t>
            </w:r>
            <w:r>
              <w:rPr>
                <w:rStyle w:val="InternetLink"/>
                <w:sz w:val="20"/>
                <w:rFonts w:ascii="Times New Roman;Times;Serif" w:hAnsi="Times New Roman;Times;Serif"/>
              </w:rPr>
              <w:fldChar w:fldCharType="end"/>
            </w:r>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18">
              <w:r>
                <w:rPr>
                  <w:rStyle w:val="InternetLink"/>
                  <w:rFonts w:ascii="Times New Roman;Times;Serif" w:hAnsi="Times New Roman;Times;Serif"/>
                  <w:sz w:val="20"/>
                </w:rPr>
                <w:t>10.2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19">
              <w:r>
                <w:rPr>
                  <w:rStyle w:val="InternetLink"/>
                  <w:rFonts w:ascii="Times New Roman;Times;Serif" w:hAnsi="Times New Roman;Times;Serif"/>
                  <w:sz w:val="20"/>
                </w:rPr>
                <w:t>Letter Agreement, dated December 1, 2021, by and among ROC Energy Acquisition Corp., its officers and directors and our Sponsor (incorporated by reference to Exhibit 10.1 to ROC Energy Acquisition Corp.’s Current Report on Form 8-K (File No. 001-41103) filed with the SEC on December 7, 2021).</w:t>
              </w:r>
            </w:hyperlink>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II- 2</w:t>
      </w:r>
    </w:p>
    <w:p>
      <w:pPr>
        <w:pStyle w:val="TextBody"/>
        <w:spacing w:before="0" w:after="0"/>
        <w:ind w:left="0" w:right="0" w:hanging="0"/>
        <w:rPr/>
      </w:pPr>
      <w:r>
        <w:rPr/>
        <w:t> </w:t>
      </w:r>
    </w:p>
    <w:p>
      <w:pPr>
        <w:pStyle w:val="TextBody"/>
        <w:rPr/>
      </w:pPr>
      <w:r>
        <w:rPr/>
        <w:t> </w:t>
      </w:r>
    </w:p>
    <w:tbl>
      <w:tblPr>
        <w:tblW w:w="10539" w:type="dxa"/>
        <w:jc w:val="left"/>
        <w:tblInd w:w="0" w:type="dxa"/>
        <w:tblCellMar>
          <w:top w:w="0" w:type="dxa"/>
          <w:left w:w="0" w:type="dxa"/>
          <w:bottom w:w="0" w:type="dxa"/>
          <w:right w:w="0" w:type="dxa"/>
        </w:tblCellMar>
      </w:tblPr>
      <w:tblGrid>
        <w:gridCol w:w="890"/>
        <w:gridCol w:w="60"/>
        <w:gridCol w:w="9589"/>
      </w:tblGrid>
      <w:tr>
        <w:trPr/>
        <w:tc>
          <w:tcPr>
            <w:tcW w:w="89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bottom w:val="single" w:sz="8" w:space="0" w:color="000000"/>
            </w:tcBorders>
            <w:shd w:fill="auto" w:val="clear"/>
            <w:tcMar>
              <w:bottom w:w="28" w:type="dxa"/>
            </w:tcMar>
            <w:vAlign w:val="center"/>
          </w:tcPr>
          <w:p>
            <w:pPr>
              <w:pStyle w:val="TableContents"/>
              <w:spacing w:before="0" w:after="283"/>
              <w:jc w:val="center"/>
              <w:rPr>
                <w:b/>
              </w:rPr>
            </w:pPr>
            <w:r>
              <w:rPr>
                <w:b/>
              </w:rPr>
              <w:t>Number</w:t>
            </w:r>
          </w:p>
        </w:tc>
        <w:tc>
          <w:tcPr>
            <w:tcW w:w="60" w:type="dxa"/>
            <w:tcBorders/>
            <w:shd w:fill="auto" w:val="clear"/>
            <w:vAlign w:val="center"/>
          </w:tcPr>
          <w:p>
            <w:pPr>
              <w:pStyle w:val="TableContents"/>
              <w:spacing w:before="0" w:after="283"/>
              <w:rPr/>
            </w:pPr>
            <w:r>
              <w:rPr/>
              <w:t> </w:t>
            </w:r>
          </w:p>
        </w:tc>
        <w:tc>
          <w:tcPr>
            <w:tcW w:w="958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auto" w:val="clear"/>
            <w:vAlign w:val="center"/>
          </w:tcPr>
          <w:p>
            <w:pPr>
              <w:pStyle w:val="TableContents"/>
              <w:spacing w:before="0" w:after="283"/>
              <w:jc w:val="center"/>
              <w:rPr/>
            </w:pPr>
            <w:hyperlink r:id="rId20">
              <w:r>
                <w:rPr>
                  <w:rStyle w:val="InternetLink"/>
                  <w:rFonts w:ascii="Times New Roman;Times;Serif" w:hAnsi="Times New Roman;Times;Serif"/>
                  <w:sz w:val="20"/>
                </w:rPr>
                <w:t>10.3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21">
              <w:r>
                <w:rPr>
                  <w:rStyle w:val="InternetLink"/>
                  <w:rFonts w:ascii="Times New Roman;Times;Serif" w:hAnsi="Times New Roman;Times;Serif"/>
                  <w:sz w:val="20"/>
                </w:rPr>
                <w:t>Investment Management Trust Agreement, dated December 1, 2021, by and between ROC Energy Acquisition Corp. and Continental Stock Transfer &amp; Trust Company, as trustee (incorporated by reference to Exhibit 10.2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22">
              <w:r>
                <w:rPr>
                  <w:rStyle w:val="InternetLink"/>
                  <w:rFonts w:ascii="Times New Roman;Times;Serif" w:hAnsi="Times New Roman;Times;Serif"/>
                  <w:sz w:val="20"/>
                </w:rPr>
                <w:t>10.4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23">
              <w:r>
                <w:rPr>
                  <w:rStyle w:val="InternetLink"/>
                  <w:rFonts w:ascii="Times New Roman;Times;Serif" w:hAnsi="Times New Roman;Times;Serif"/>
                  <w:sz w:val="20"/>
                </w:rPr>
                <w:t>Stock Escrow Agreement, dated December 1, 2021, by and between ROC Energy Acquisition Corp., the Sponsor and Continental Stock Transfer &amp; Trust Company, as escrow agent (incorporated by reference to Exhibit 10.3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24">
              <w:r>
                <w:rPr>
                  <w:rStyle w:val="InternetLink"/>
                  <w:rFonts w:ascii="Times New Roman;Times;Serif" w:hAnsi="Times New Roman;Times;Serif"/>
                  <w:sz w:val="20"/>
                </w:rPr>
                <w:t>10.5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25">
              <w:r>
                <w:rPr>
                  <w:rStyle w:val="InternetLink"/>
                  <w:rFonts w:ascii="Times New Roman;Times;Serif" w:hAnsi="Times New Roman;Times;Serif"/>
                  <w:sz w:val="20"/>
                </w:rPr>
                <w:t>Registration Rights Agreement, dated December 1, 2021, among ROC Energy Acquisition Corp., our Sponsor and certain other security holders named therein (incorporated by reference to Exhibit 10.4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26">
              <w:r>
                <w:rPr>
                  <w:rStyle w:val="InternetLink"/>
                  <w:rFonts w:ascii="Times New Roman;Times;Serif" w:hAnsi="Times New Roman;Times;Serif"/>
                  <w:sz w:val="20"/>
                </w:rPr>
                <w:t>10.6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27">
              <w:r>
                <w:rPr>
                  <w:rStyle w:val="InternetLink"/>
                  <w:rFonts w:ascii="Times New Roman;Times;Serif" w:hAnsi="Times New Roman;Times;Serif"/>
                  <w:sz w:val="20"/>
                </w:rPr>
                <w:t>Securities Subscription Agreement, dated as of September 2, 2021 between the ROC Energy Acquisition Corp. and ROC Energy Holdings, LLC (incorporated by reference to Exhibit 10.5 to ROC Energy Acquisition Corp.’s Registration Statement on Form S-1 (File No. 333-260891) filed with the SEC on November 9,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28">
              <w:r>
                <w:rPr>
                  <w:rStyle w:val="InternetLink"/>
                  <w:rFonts w:ascii="Times New Roman;Times;Serif" w:hAnsi="Times New Roman;Times;Serif"/>
                  <w:sz w:val="20"/>
                </w:rPr>
                <w:t>10.7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29">
              <w:r>
                <w:rPr>
                  <w:rStyle w:val="InternetLink"/>
                  <w:rFonts w:ascii="Times New Roman;Times;Serif" w:hAnsi="Times New Roman;Times;Serif"/>
                  <w:sz w:val="20"/>
                </w:rPr>
                <w:t>Administrative Support Agreement, dated December 1, 2021, between ROC Energy Acquisition Corp. and Fifth Partners, LLC (incorporated by reference to Exhibit 10.5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30">
              <w:r>
                <w:rPr>
                  <w:rStyle w:val="InternetLink"/>
                  <w:rFonts w:ascii="Times New Roman;Times;Serif" w:hAnsi="Times New Roman;Times;Serif"/>
                  <w:sz w:val="20"/>
                </w:rPr>
                <w:t>10.8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1">
              <w:r>
                <w:rPr>
                  <w:rStyle w:val="InternetLink"/>
                  <w:rFonts w:ascii="Times New Roman;Times;Serif" w:hAnsi="Times New Roman;Times;Serif"/>
                  <w:sz w:val="20"/>
                </w:rPr>
                <w:t>Private Placement Units Purchase Agreement, dated December 1, 2021, by and between the Company and the Sponsor (incorporated by reference to Exhibit 10.6 to ROC Energy Acquisition Corp.’s Current Report on Form 8-K (File No. 001-41103) filed with the SEC on December 7,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32">
              <w:r>
                <w:rPr>
                  <w:rStyle w:val="InternetLink"/>
                  <w:rFonts w:ascii="Times New Roman;Times;Serif" w:hAnsi="Times New Roman;Times;Serif"/>
                  <w:sz w:val="20"/>
                </w:rPr>
                <w:t>10.9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3">
              <w:r>
                <w:rPr>
                  <w:rStyle w:val="InternetLink"/>
                  <w:rFonts w:ascii="Times New Roman;Times;Serif" w:hAnsi="Times New Roman;Times;Serif"/>
                  <w:sz w:val="20"/>
                </w:rPr>
                <w:t>Promissory Note, dated September 2, 2021, issued to our Sponsor (incorporated by reference to Exhibit 10.9 to ROC Energy Acquisition Corp.’s Registration Statement on Form S-1 (File No. 333- 260891) filed with the SEC on November 9,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34">
              <w:r>
                <w:rPr>
                  <w:rStyle w:val="InternetLink"/>
                  <w:rFonts w:ascii="Times New Roman;Times;Serif" w:hAnsi="Times New Roman;Times;Serif"/>
                  <w:sz w:val="20"/>
                </w:rPr>
                <w:t>10.10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5">
              <w:r>
                <w:rPr>
                  <w:rStyle w:val="InternetLink"/>
                  <w:rFonts w:ascii="Times New Roman;Times;Serif" w:hAnsi="Times New Roman;Times;Serif"/>
                  <w:sz w:val="20"/>
                </w:rPr>
                <w:t>Form of Indemnification Agreement (incorporated by reference to Exhibit 10.6 to ROC Energy Acquisition Corp.’s Registration Statement on Form S-1/A (File No. 333-260891) filed with the SEC on November 15, 2021).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36">
              <w:r>
                <w:rPr>
                  <w:rStyle w:val="InternetLink"/>
                  <w:rFonts w:ascii="Times New Roman;Times;Serif" w:hAnsi="Times New Roman;Times;Serif"/>
                  <w:sz w:val="20"/>
                </w:rPr>
                <w:t>10.11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7">
              <w:r>
                <w:rPr>
                  <w:rStyle w:val="InternetLink"/>
                  <w:rFonts w:ascii="Times New Roman;Times;Serif" w:hAnsi="Times New Roman;Times;Serif"/>
                  <w:sz w:val="20"/>
                </w:rPr>
                <w:t>Form of Director Nomination Agreement (incorporated by reference to Exhibit 10.11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38">
              <w:r>
                <w:rPr>
                  <w:rStyle w:val="InternetLink"/>
                  <w:rFonts w:ascii="Times New Roman;Times;Serif" w:hAnsi="Times New Roman;Times;Serif"/>
                  <w:sz w:val="20"/>
                </w:rPr>
                <w:t>10.12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39">
              <w:r>
                <w:rPr>
                  <w:rStyle w:val="InternetLink"/>
                  <w:rFonts w:ascii="Times New Roman;Times;Serif" w:hAnsi="Times New Roman;Times;Serif"/>
                  <w:sz w:val="20"/>
                </w:rPr>
                <w:t>Form of Lock-Up Agreement (incorporated by reference to Exhibit 10.12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40">
              <w:r>
                <w:rPr>
                  <w:rStyle w:val="InternetLink"/>
                  <w:rFonts w:ascii="Times New Roman;Times;Serif" w:hAnsi="Times New Roman;Times;Serif"/>
                  <w:sz w:val="20"/>
                </w:rPr>
                <w:t>10.13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41">
              <w:r>
                <w:rPr>
                  <w:rStyle w:val="InternetLink"/>
                  <w:rFonts w:ascii="Times New Roman;Times;Serif" w:hAnsi="Times New Roman;Times;Serif"/>
                  <w:sz w:val="20"/>
                </w:rPr>
                <w:t>Form of Subscription Agreement (incorporated by reference to Exhibit 8.1 to ROC Energy Acquisition Corp.’s Proxy Statement / Prospectus / Consent Solicitation Statement on  Form S-4 (File No. 333-269763) filed with the SEC on April 24,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42">
              <w:r>
                <w:rPr>
                  <w:rStyle w:val="InternetLink"/>
                  <w:rFonts w:ascii="Times New Roman;Times;Serif" w:hAnsi="Times New Roman;Times;Serif"/>
                  <w:sz w:val="20"/>
                </w:rPr>
                <w:t>10.14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43">
              <w:r>
                <w:rPr>
                  <w:rStyle w:val="InternetLink"/>
                  <w:rFonts w:ascii="Times New Roman;Times;Serif" w:hAnsi="Times New Roman;Times;Serif"/>
                  <w:sz w:val="20"/>
                </w:rPr>
                <w:t>Fairness Opinion of Energy Capital Solutions LLC (incorporated by reference to Exhibit 10.14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44">
              <w:r>
                <w:rPr>
                  <w:rStyle w:val="InternetLink"/>
                  <w:rFonts w:ascii="Times New Roman;Times;Serif" w:hAnsi="Times New Roman;Times;Serif"/>
                  <w:sz w:val="20"/>
                </w:rPr>
                <w:t>10.15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45">
              <w:r>
                <w:rPr>
                  <w:rStyle w:val="InternetLink"/>
                  <w:rFonts w:ascii="Times New Roman;Times;Serif" w:hAnsi="Times New Roman;Times;Serif"/>
                  <w:sz w:val="20"/>
                </w:rPr>
                <w:t>Promissory Note, dated as of January 16, 2023, between FP SPAC 2, LLC and ROC Energy Acquisition Corp. (incorporated by reference to Exhibit 10.1 ROC Energy Acquisition Corp.’s Current Report on Form 8-K (File No. 001-41103) filed with the SEC on January 20, 2023).</w:t>
              </w:r>
            </w:hyperlink>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II- 3</w:t>
      </w:r>
    </w:p>
    <w:p>
      <w:pPr>
        <w:pStyle w:val="TextBody"/>
        <w:spacing w:before="0" w:after="0"/>
        <w:ind w:left="0" w:right="0" w:hanging="0"/>
        <w:rPr/>
      </w:pPr>
      <w:r>
        <w:rPr/>
        <w:t> </w:t>
      </w:r>
    </w:p>
    <w:p>
      <w:pPr>
        <w:pStyle w:val="TextBody"/>
        <w:rPr/>
      </w:pPr>
      <w:r>
        <w:rPr/>
        <w:t> </w:t>
      </w:r>
    </w:p>
    <w:tbl>
      <w:tblPr>
        <w:tblW w:w="10539" w:type="dxa"/>
        <w:jc w:val="left"/>
        <w:tblInd w:w="0" w:type="dxa"/>
        <w:tblCellMar>
          <w:top w:w="0" w:type="dxa"/>
          <w:left w:w="0" w:type="dxa"/>
          <w:bottom w:w="0" w:type="dxa"/>
          <w:right w:w="0" w:type="dxa"/>
        </w:tblCellMar>
      </w:tblPr>
      <w:tblGrid>
        <w:gridCol w:w="890"/>
        <w:gridCol w:w="60"/>
        <w:gridCol w:w="9589"/>
      </w:tblGrid>
      <w:tr>
        <w:trPr/>
        <w:tc>
          <w:tcPr>
            <w:tcW w:w="89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bottom w:val="single" w:sz="8" w:space="0" w:color="000000"/>
            </w:tcBorders>
            <w:shd w:fill="auto" w:val="clear"/>
            <w:tcMar>
              <w:bottom w:w="28" w:type="dxa"/>
            </w:tcMar>
            <w:vAlign w:val="center"/>
          </w:tcPr>
          <w:p>
            <w:pPr>
              <w:pStyle w:val="TableContents"/>
              <w:spacing w:before="0" w:after="283"/>
              <w:jc w:val="center"/>
              <w:rPr>
                <w:b/>
              </w:rPr>
            </w:pPr>
            <w:r>
              <w:rPr>
                <w:b/>
              </w:rPr>
              <w:t>Number</w:t>
            </w:r>
          </w:p>
        </w:tc>
        <w:tc>
          <w:tcPr>
            <w:tcW w:w="60" w:type="dxa"/>
            <w:tcBorders/>
            <w:shd w:fill="auto" w:val="clear"/>
            <w:vAlign w:val="center"/>
          </w:tcPr>
          <w:p>
            <w:pPr>
              <w:pStyle w:val="TableContents"/>
              <w:spacing w:before="0" w:after="283"/>
              <w:rPr/>
            </w:pPr>
            <w:r>
              <w:rPr/>
              <w:t> </w:t>
            </w:r>
          </w:p>
        </w:tc>
        <w:tc>
          <w:tcPr>
            <w:tcW w:w="9589"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auto" w:val="clear"/>
            <w:vAlign w:val="center"/>
          </w:tcPr>
          <w:p>
            <w:pPr>
              <w:pStyle w:val="TableContents"/>
              <w:spacing w:before="0" w:after="283"/>
              <w:jc w:val="center"/>
              <w:rPr/>
            </w:pPr>
            <w:hyperlink r:id="rId46">
              <w:r>
                <w:rPr>
                  <w:rStyle w:val="InternetLink"/>
                  <w:rFonts w:ascii="Times New Roman;Times;Serif" w:hAnsi="Times New Roman;Times;Serif"/>
                  <w:sz w:val="20"/>
                </w:rPr>
                <w:t>10.16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47">
              <w:r>
                <w:rPr>
                  <w:rStyle w:val="InternetLink"/>
                  <w:rFonts w:ascii="Times New Roman;Times;Serif" w:hAnsi="Times New Roman;Times;Serif"/>
                  <w:sz w:val="20"/>
                </w:rPr>
                <w:t>Sponsor Support Agreement, dated as of February 13, 2023, between the Sponsor, ROC Energy Acquisition Corp. and Drilling Tools International Holdings, Inc. (incorporated by reference to Exhibit 10.16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48">
              <w:r>
                <w:rPr>
                  <w:rStyle w:val="InternetLink"/>
                  <w:rFonts w:ascii="Times New Roman;Times;Serif" w:hAnsi="Times New Roman;Times;Serif"/>
                  <w:sz w:val="20"/>
                </w:rPr>
                <w:t>10.17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49">
              <w:r>
                <w:rPr>
                  <w:rStyle w:val="InternetLink"/>
                  <w:rFonts w:ascii="Times New Roman;Times;Serif" w:hAnsi="Times New Roman;Times;Serif"/>
                  <w:sz w:val="20"/>
                </w:rPr>
                <w:t>Company Support Agreement, dated as of February 13, 2023, between the Sponsor, ROC Energy Acquisition Corp. and Drilling Tools International Holdings, Inc. (incorporated by reference to Exhibit 10.17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50">
              <w:r>
                <w:rPr>
                  <w:rStyle w:val="InternetLink"/>
                  <w:rFonts w:ascii="Times New Roman;Times;Serif" w:hAnsi="Times New Roman;Times;Serif"/>
                  <w:sz w:val="20"/>
                </w:rPr>
                <w:t>10.18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1">
              <w:r>
                <w:rPr>
                  <w:rStyle w:val="InternetLink"/>
                  <w:rFonts w:ascii="Times New Roman;Times;Serif" w:hAnsi="Times New Roman;Times;Serif"/>
                  <w:sz w:val="20"/>
                </w:rPr>
                <w:t>Amended and Restated Registration Rights Agreement, dated as of February 13, 2023, between the Sponsor, ROC Energy Acquisition Corp., EarlyBirdCapital, Inc. and the other parties thereto (incorporated by reference to Exhibit 10.18 to ROC Energy Acquisition Corp.’s Proxy Statement / Prospectus / Consent Solicitation Statement on Form S-4 (File No. 333- 269763)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52">
              <w:r>
                <w:rPr>
                  <w:rStyle w:val="InternetLink"/>
                  <w:rFonts w:ascii="Times New Roman;Times;Serif" w:hAnsi="Times New Roman;Times;Serif"/>
                  <w:sz w:val="20"/>
                </w:rPr>
                <w:t>21.1**</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3">
              <w:r>
                <w:rPr>
                  <w:rStyle w:val="InternetLink"/>
                  <w:rFonts w:ascii="Times New Roman;Times;Serif" w:hAnsi="Times New Roman;Times;Serif"/>
                  <w:sz w:val="20"/>
                </w:rPr>
                <w:t>List of Subsidiaries (incorporated by reference to Exhibit 99.7 to ROC Energy Acquisition Corp.’s Proxy Statement / Prospectus / Consent Solicitation Statement on Form S-4 (File No. 333-269763) filed with the SEC on April 24,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54">
              <w:r>
                <w:rPr>
                  <w:rStyle w:val="InternetLink"/>
                  <w:rFonts w:ascii="Times New Roman;Times;Serif" w:hAnsi="Times New Roman;Times;Serif"/>
                  <w:sz w:val="20"/>
                </w:rPr>
                <w:t>23.1**</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5">
              <w:r>
                <w:rPr>
                  <w:rStyle w:val="InternetLink"/>
                  <w:rFonts w:ascii="Times New Roman;Times;Serif" w:hAnsi="Times New Roman;Times;Serif"/>
                  <w:sz w:val="20"/>
                </w:rPr>
                <w:t>Consent of Weaver &amp; Tidwell LLP (incorporated by reference to Exhibit 99.7 to ROC Energy Acquisition Corp.’s Proxy Statement / Prospectus / Consent Solicitation Statement on Form S-4 (File No. 333-269763) filed with the SEC on May 8,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56">
              <w:r>
                <w:rPr>
                  <w:rStyle w:val="InternetLink"/>
                  <w:rFonts w:ascii="Times New Roman;Times;Serif" w:hAnsi="Times New Roman;Times;Serif"/>
                  <w:sz w:val="20"/>
                </w:rPr>
                <w:t>23.2**</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7">
              <w:r>
                <w:rPr>
                  <w:rStyle w:val="InternetLink"/>
                  <w:rFonts w:ascii="Times New Roman;Times;Serif" w:hAnsi="Times New Roman;Times;Serif"/>
                  <w:sz w:val="20"/>
                </w:rPr>
                <w:t>Consent of WithumSmith+Brown, PC (incorporated by reference to Exhibit 99.7 to ROC Energy Acquisition Corp.’s Proxy Statement / Prospectus / Consent Solicitation Statement on Form S-4 (File No. 333-269763) filed with the SEC on May 8,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58">
              <w:r>
                <w:rPr>
                  <w:rStyle w:val="InternetLink"/>
                  <w:rFonts w:ascii="Times New Roman;Times;Serif" w:hAnsi="Times New Roman;Times;Serif"/>
                  <w:sz w:val="20"/>
                </w:rPr>
                <w:t>23.3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59">
              <w:r>
                <w:rPr>
                  <w:rStyle w:val="InternetLink"/>
                  <w:rFonts w:ascii="Times New Roman;Times;Serif" w:hAnsi="Times New Roman;Times;Serif"/>
                  <w:sz w:val="20"/>
                </w:rPr>
                <w:t>Consent of Winston &amp; Strawn L.L.P. (included in Exhibit 5.1).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w:anchor="tm236205d18_ex8-1.htm">
              <w:r>
                <w:rPr>
                  <w:rStyle w:val="InternetLink"/>
                  <w:rFonts w:ascii="Times New Roman;Times;Serif" w:hAnsi="Times New Roman;Times;Serif"/>
                  <w:sz w:val="20"/>
                </w:rPr>
                <w:t>23.4</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w:anchor="tm236205d18_ex8-1.htm">
              <w:r>
                <w:rPr>
                  <w:rStyle w:val="InternetLink"/>
                  <w:rFonts w:ascii="Times New Roman;Times;Serif" w:hAnsi="Times New Roman;Times;Serif"/>
                  <w:sz w:val="20"/>
                </w:rPr>
                <w:t>Consent of Bracewell LLP (included in Exhibit 8.1)</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r>
              <w:fldChar w:fldCharType="begin"/>
            </w:r>
            <w:r>
              <w:rPr>
                <w:rStyle w:val="InternetLink"/>
                <w:sz w:val="20"/>
                <w:rFonts w:ascii="Times New Roman;Times;Serif" w:hAnsi="Times New Roman;Times;Serif"/>
              </w:rPr>
              <w:instrText> HYPERLINK "https://www.sec.gov/ix?doc=/Archives/edgar/data/1884516/000110465923040437/rocau-20221231xs4a.htm" \l "SIGNATURES_853522"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24.1**</w:t>
            </w:r>
            <w:r>
              <w:rPr>
                <w:rStyle w:val="InternetLink"/>
                <w:sz w:val="20"/>
                <w:rFonts w:ascii="Times New Roman;Times;Serif" w:hAnsi="Times New Roman;Times;Serif"/>
              </w:rPr>
              <w:fldChar w:fldCharType="end"/>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"https://www.sec.gov/ix?doc=/Archives/edgar/data/1884516/000110465923040437/rocau-20221231xs4a.htm" \l "SIGNATURES_853522"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(included on the Signature Page of this Registration Statement).</w:t>
            </w:r>
            <w:r>
              <w:rPr>
                <w:rStyle w:val="InternetLink"/>
                <w:sz w:val="20"/>
                <w:rFonts w:ascii="Times New Roman;Times;Serif" w:hAnsi="Times New Roman;Times;Serif"/>
              </w:rPr>
              <w:fldChar w:fldCharType="end"/>
            </w:r>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0">
              <w:r>
                <w:rPr>
                  <w:rStyle w:val="InternetLink"/>
                  <w:rFonts w:ascii="Times New Roman;Times;Serif" w:hAnsi="Times New Roman;Times;Serif"/>
                  <w:sz w:val="20"/>
                </w:rPr>
                <w:t>99.1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61">
              <w:r>
                <w:rPr>
                  <w:rStyle w:val="InternetLink"/>
                  <w:rFonts w:ascii="Times New Roman;Times;Serif" w:hAnsi="Times New Roman;Times;Serif"/>
                  <w:sz w:val="20"/>
                </w:rPr>
                <w:t>Consent of Curt Crofford to be named as a director (incorporated by reference to Exhibit 99.1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2">
              <w:r>
                <w:rPr>
                  <w:rStyle w:val="InternetLink"/>
                  <w:rFonts w:ascii="Times New Roman;Times;Serif" w:hAnsi="Times New Roman;Times;Serif"/>
                  <w:sz w:val="20"/>
                </w:rPr>
                <w:t>99.2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63">
              <w:r>
                <w:rPr>
                  <w:rStyle w:val="InternetLink"/>
                  <w:rFonts w:ascii="Times New Roman;Times;Serif" w:hAnsi="Times New Roman;Times;Serif"/>
                  <w:sz w:val="20"/>
                </w:rPr>
                <w:t>Consent of Jack Furst to be named as a director (incorporated by reference to Exhibit 99.2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4">
              <w:r>
                <w:rPr>
                  <w:rStyle w:val="InternetLink"/>
                  <w:rFonts w:ascii="Times New Roman;Times;Serif" w:hAnsi="Times New Roman;Times;Serif"/>
                  <w:sz w:val="20"/>
                </w:rPr>
                <w:t>99.3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65">
              <w:r>
                <w:rPr>
                  <w:rStyle w:val="InternetLink"/>
                  <w:rFonts w:ascii="Times New Roman;Times;Serif" w:hAnsi="Times New Roman;Times;Serif"/>
                  <w:sz w:val="20"/>
                </w:rPr>
                <w:t>Consent of Thomas O. Hicks to be named as a director (incorporated by reference to Exhibit 99.3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6">
              <w:r>
                <w:rPr>
                  <w:rStyle w:val="InternetLink"/>
                  <w:rFonts w:ascii="Times New Roman;Times;Serif" w:hAnsi="Times New Roman;Times;Serif"/>
                  <w:sz w:val="20"/>
                </w:rPr>
                <w:t>99.4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67">
              <w:r>
                <w:rPr>
                  <w:rStyle w:val="InternetLink"/>
                  <w:rFonts w:ascii="Times New Roman;Times;Serif" w:hAnsi="Times New Roman;Times;Serif"/>
                  <w:sz w:val="20"/>
                </w:rPr>
                <w:t>Consent of Eric Neuman to be named as a director (incorporated by reference to Exhibit 99.4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68">
              <w:r>
                <w:rPr>
                  <w:rStyle w:val="InternetLink"/>
                  <w:rFonts w:ascii="Times New Roman;Times;Serif" w:hAnsi="Times New Roman;Times;Serif"/>
                  <w:sz w:val="20"/>
                </w:rPr>
                <w:t>99.5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69">
              <w:r>
                <w:rPr>
                  <w:rStyle w:val="InternetLink"/>
                  <w:rFonts w:ascii="Times New Roman;Times;Serif" w:hAnsi="Times New Roman;Times;Serif"/>
                  <w:sz w:val="20"/>
                </w:rPr>
                <w:t>Consent of C. Richard Vermillion to be named as a director (incorporated by reference to Exhibit 99.5 to ROC Energy Acquisition Corp.’s Proxy Statement / Prospectus / Consent Solicitation Statement on Form S-4 (File No. 333-269763) filed with the SEC on February 14,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70">
              <w:r>
                <w:rPr>
                  <w:rStyle w:val="InternetLink"/>
                  <w:rFonts w:ascii="Times New Roman;Times;Serif" w:hAnsi="Times New Roman;Times;Serif"/>
                  <w:sz w:val="20"/>
                </w:rPr>
                <w:t>99.6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71">
              <w:r>
                <w:rPr>
                  <w:rStyle w:val="InternetLink"/>
                  <w:rFonts w:ascii="Times New Roman;Times;Serif" w:hAnsi="Times New Roman;Times;Serif"/>
                  <w:sz w:val="20"/>
                </w:rPr>
                <w:t>Consent of Energy Capital Solutions, LLC</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72">
              <w:r>
                <w:rPr>
                  <w:rStyle w:val="InternetLink"/>
                  <w:rFonts w:ascii="Times New Roman;Times;Serif" w:hAnsi="Times New Roman;Times;Serif"/>
                  <w:sz w:val="20"/>
                </w:rPr>
                <w:t>99.7**</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73">
              <w:r>
                <w:rPr>
                  <w:rStyle w:val="InternetLink"/>
                  <w:rFonts w:ascii="Times New Roman;Times;Serif" w:hAnsi="Times New Roman;Times;Serif"/>
                  <w:sz w:val="20"/>
                </w:rPr>
                <w:t>Form of Proxy Card for Stockholders’ Meeting (incorporated by reference to Exhibit 99.7 to ROC Energy Acquisition Corp.’s Proxy Statement / Prospectus / Consent Solicitation Statement on Form S-4 (File No. 333-269763) filed with the SEC on May 8, 2023).</w:t>
              </w:r>
            </w:hyperlink>
          </w:p>
        </w:tc>
      </w:tr>
      <w:tr>
        <w:trPr/>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jc w:val="center"/>
              <w:rPr/>
            </w:pPr>
            <w:hyperlink r:id="rId74">
              <w:r>
                <w:rPr>
                  <w:rStyle w:val="InternetLink"/>
                  <w:rFonts w:ascii="Times New Roman;Times;Serif" w:hAnsi="Times New Roman;Times;Serif"/>
                  <w:sz w:val="20"/>
                </w:rPr>
                <w:t>107 **</w:t>
              </w:r>
            </w:hyperlink>
          </w:p>
        </w:tc>
        <w:tc>
          <w:tcPr>
            <w:tcW w:w="60" w:type="dxa"/>
            <w:tcBorders/>
            <w:shd w:fill="auto" w:val="clear"/>
            <w:vAlign w:val="center"/>
          </w:tcPr>
          <w:p>
            <w:pPr>
              <w:pStyle w:val="TableContents"/>
              <w:spacing w:before="0" w:after="283"/>
              <w:rPr/>
            </w:pPr>
            <w:r>
              <w:rPr/>
              <w:t> </w:t>
            </w:r>
          </w:p>
        </w:tc>
        <w:tc>
          <w:tcPr>
            <w:tcW w:w="9589" w:type="dxa"/>
            <w:tcBorders/>
            <w:shd w:fill="auto" w:val="clear"/>
            <w:vAlign w:val="center"/>
          </w:tcPr>
          <w:p>
            <w:pPr>
              <w:pStyle w:val="TableContents"/>
              <w:spacing w:before="0" w:after="283"/>
              <w:rPr/>
            </w:pPr>
            <w:hyperlink r:id="rId75">
              <w:r>
                <w:rPr>
                  <w:rStyle w:val="InternetLink"/>
                  <w:rFonts w:ascii="Times New Roman;Times;Serif" w:hAnsi="Times New Roman;Times;Serif"/>
                  <w:sz w:val="20"/>
                </w:rPr>
                <w:t>Filing Fee Table.</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II- 4</w:t>
      </w:r>
    </w:p>
    <w:p>
      <w:pPr>
        <w:pStyle w:val="TextBody"/>
        <w:spacing w:before="0" w:after="0"/>
        <w:ind w:left="0" w:right="0" w:hanging="0"/>
        <w:rPr/>
      </w:pPr>
      <w:r>
        <w:rPr/>
        <w:t> </w:t>
      </w:r>
    </w:p>
    <w:p>
      <w:pPr>
        <w:pStyle w:val="TextBody"/>
        <w:spacing w:before="0" w:after="0"/>
        <w:ind w:left="0" w:right="0" w:hanging="0"/>
        <w:rPr>
          <w:caps w:val="false"/>
          <w:smallCaps w:val="false"/>
          <w:color w:val="231F20"/>
        </w:rPr>
      </w:pPr>
      <w:r>
        <w:rPr>
          <w:caps w:val="false"/>
          <w:smallCaps w:val="false"/>
          <w:color w:val="231F20"/>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Previously filed by the Registrant as indicated.</w:t>
      </w:r>
    </w:p>
    <w:p>
      <w:pPr>
        <w:pStyle w:val="TextBody"/>
        <w:spacing w:before="0" w:after="0"/>
        <w:ind w:left="0" w:right="0" w:hanging="0"/>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Management Contracts.</w:t>
      </w:r>
    </w:p>
    <w:p>
      <w:pPr>
        <w:pStyle w:val="TextBody"/>
        <w:spacing w:before="0" w:after="0"/>
        <w:ind w:left="0" w:right="0" w:hanging="0"/>
        <w:rPr>
          <w:caps w:val="false"/>
          <w:smallCaps w:val="false"/>
          <w:color w:val="231F20"/>
        </w:rPr>
      </w:pPr>
      <w:r>
        <w:rPr>
          <w:caps w:val="false"/>
          <w:smallCaps w:val="false"/>
          <w:color w:val="231F20"/>
        </w:rPr>
        <w:t> </w:t>
      </w:r>
    </w:p>
    <w:p>
      <w:pPr>
        <w:pStyle w:val="TextBody"/>
        <w:spacing w:before="0" w:after="0"/>
        <w:ind w:left="0" w:right="0" w:hanging="0"/>
        <w:jc w:val="center"/>
        <w:rPr>
          <w:sz w:val="20"/>
          <w:bdr w:val="single" w:sz="8" w:space="1" w:color="000000"/>
        </w:rPr>
      </w:pPr>
      <w:r>
        <w:rPr>
          <w:sz w:val="20"/>
          <w:bdr w:val="single" w:sz="8" w:space="1" w:color="000000"/>
        </w:rPr>
        <w:t>II- 5</w:t>
      </w:r>
    </w:p>
    <w:p>
      <w:pPr>
        <w:pStyle w:val="TextBody"/>
        <w:spacing w:before="0" w:after="0"/>
        <w:ind w:left="0" w:right="0" w:hanging="0"/>
        <w:rPr/>
      </w:pPr>
      <w:r>
        <w:rPr/>
        <w:t> </w:t>
      </w:r>
    </w:p>
    <w:p>
      <w:pPr>
        <w:pStyle w:val="TextBody"/>
        <w:spacing w:before="0" w:after="0"/>
        <w:ind w:left="0" w:right="0" w:hanging="0"/>
        <w:rPr>
          <w:caps w:val="false"/>
          <w:smallCaps w:val="false"/>
          <w:color w:val="231F20"/>
        </w:rPr>
      </w:pPr>
      <w:r>
        <w:rPr>
          <w:caps w:val="false"/>
          <w:smallCaps w:val="false"/>
          <w:color w:val="231F20"/>
        </w:rPr>
        <w:t> </w:t>
      </w:r>
    </w:p>
    <w:p>
      <w:pPr>
        <w:pStyle w:val="TextBody"/>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requirements of the Securities Act, the Registrant has duly caused this Registration Statement to be signed on its behalf by the undersigned, thereunto duly authorized, in the City of Houston, Texas, on May 11, 2023.</w:t>
      </w:r>
    </w:p>
    <w:p>
      <w:pPr>
        <w:pStyle w:val="TextBody"/>
        <w:spacing w:before="0" w:after="0"/>
        <w:ind w:left="0" w:right="0" w:hanging="0"/>
        <w:rPr>
          <w:caps w:val="false"/>
          <w:smallCaps w:val="false"/>
        </w:rPr>
      </w:pPr>
      <w:r>
        <w:rPr>
          <w:caps w:val="false"/>
          <w:smallCaps w:val="false"/>
        </w:rPr>
        <w:t> </w:t>
      </w:r>
    </w:p>
    <w:tbl>
      <w:tblPr>
        <w:tblW w:w="4660" w:type="dxa"/>
        <w:jc w:val="left"/>
        <w:tblInd w:w="0" w:type="dxa"/>
        <w:tblCellMar>
          <w:top w:w="0" w:type="dxa"/>
          <w:left w:w="0" w:type="dxa"/>
          <w:bottom w:w="0" w:type="dxa"/>
          <w:right w:w="0" w:type="dxa"/>
        </w:tblCellMar>
      </w:tblPr>
      <w:tblGrid>
        <w:gridCol w:w="75"/>
        <w:gridCol w:w="365"/>
        <w:gridCol w:w="4220"/>
      </w:tblGrid>
      <w:tr>
        <w:trPr/>
        <w:tc>
          <w:tcPr>
            <w:tcW w:w="75" w:type="dxa"/>
            <w:tcBorders/>
            <w:shd w:fill="auto" w:val="clear"/>
            <w:vAlign w:val="center"/>
          </w:tcPr>
          <w:p>
            <w:pPr>
              <w:pStyle w:val="TableContents"/>
              <w:spacing w:before="0" w:after="283"/>
              <w:rPr/>
            </w:pPr>
            <w:r>
              <w:rPr/>
              <w:t> </w:t>
            </w:r>
          </w:p>
        </w:tc>
        <w:tc>
          <w:tcPr>
            <w:tcW w:w="4585" w:type="dxa"/>
            <w:gridSpan w:val="2"/>
            <w:tcBorders/>
            <w:shd w:fill="auto" w:val="clear"/>
            <w:vAlign w:val="center"/>
          </w:tcPr>
          <w:p>
            <w:pPr>
              <w:pStyle w:val="TableContents"/>
              <w:spacing w:before="0" w:after="283"/>
              <w:rPr>
                <w:b/>
              </w:rPr>
            </w:pPr>
            <w:r>
              <w:rPr>
                <w:b/>
              </w:rPr>
              <w:t>ROC ENERGY ACQUISITION CORP.</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pPr>
            <w:r>
              <w:rPr/>
              <w:t>By:</w:t>
            </w:r>
          </w:p>
        </w:tc>
        <w:tc>
          <w:tcPr>
            <w:tcW w:w="4220" w:type="dxa"/>
            <w:tcBorders>
              <w:bottom w:val="single" w:sz="8" w:space="0" w:color="000000"/>
            </w:tcBorders>
            <w:shd w:fill="auto" w:val="clear"/>
            <w:tcMar>
              <w:bottom w:w="28" w:type="dxa"/>
            </w:tcMar>
            <w:vAlign w:val="center"/>
          </w:tcPr>
          <w:p>
            <w:pPr>
              <w:pStyle w:val="TableContents"/>
              <w:spacing w:before="0" w:after="283"/>
              <w:rPr/>
            </w:pPr>
            <w:r>
              <w:rPr/>
              <w:t>/s/ Daniel Jeffrey Kimes</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283"/>
              <w:rPr/>
            </w:pPr>
            <w:r>
              <w:rPr/>
              <w:t>Name: Daniel Jeffrey Kimes</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283"/>
              <w:rPr/>
            </w:pPr>
            <w:r>
              <w:rPr/>
              <w:t>Title:   Chief Executive Officer and Director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requirements of the Securities Act, this Registration Statement has been signed by the following persons in the capacities indicated on May 11, 2023.</w:t>
      </w:r>
    </w:p>
    <w:p>
      <w:pPr>
        <w:pStyle w:val="TextBody"/>
        <w:spacing w:before="0" w:after="0"/>
        <w:ind w:left="0" w:right="0" w:hanging="0"/>
        <w:rPr>
          <w:caps w:val="false"/>
          <w:smallCaps w:val="false"/>
        </w:rPr>
      </w:pPr>
      <w:r>
        <w:rPr>
          <w:caps w:val="false"/>
          <w:smallCaps w:val="false"/>
        </w:rPr>
        <w:t> </w:t>
      </w:r>
    </w:p>
    <w:tbl>
      <w:tblPr>
        <w:tblW w:w="6885" w:type="dxa"/>
        <w:jc w:val="left"/>
        <w:tblInd w:w="0" w:type="dxa"/>
        <w:tblCellMar>
          <w:top w:w="0" w:type="dxa"/>
          <w:left w:w="0" w:type="dxa"/>
          <w:bottom w:w="28" w:type="dxa"/>
          <w:right w:w="0" w:type="dxa"/>
        </w:tblCellMar>
      </w:tblPr>
      <w:tblGrid>
        <w:gridCol w:w="1955"/>
        <w:gridCol w:w="60"/>
        <w:gridCol w:w="3635"/>
        <w:gridCol w:w="60"/>
        <w:gridCol w:w="1175"/>
      </w:tblGrid>
      <w:tr>
        <w:trPr/>
        <w:tc>
          <w:tcPr>
            <w:tcW w:w="19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Signature</w:t>
            </w:r>
          </w:p>
        </w:tc>
        <w:tc>
          <w:tcPr>
            <w:tcW w:w="60" w:type="dxa"/>
            <w:tcBorders/>
            <w:shd w:fill="auto" w:val="clear"/>
            <w:tcMar>
              <w:bottom w:w="0" w:type="dxa"/>
            </w:tcMar>
            <w:vAlign w:val="center"/>
          </w:tcPr>
          <w:p>
            <w:pPr>
              <w:pStyle w:val="TableContents"/>
              <w:spacing w:before="0" w:after="283"/>
              <w:rPr/>
            </w:pPr>
            <w:r>
              <w:rPr/>
              <w:t> </w:t>
            </w:r>
          </w:p>
        </w:tc>
        <w:tc>
          <w:tcPr>
            <w:tcW w:w="36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Title</w:t>
            </w:r>
          </w:p>
        </w:tc>
        <w:tc>
          <w:tcPr>
            <w:tcW w:w="60" w:type="dxa"/>
            <w:tcBorders/>
            <w:shd w:fill="auto" w:val="clear"/>
            <w:tcMar>
              <w:bottom w:w="0" w:type="dxa"/>
            </w:tcMar>
            <w:vAlign w:val="center"/>
          </w:tcPr>
          <w:p>
            <w:pPr>
              <w:pStyle w:val="TableContents"/>
              <w:spacing w:before="0" w:after="283"/>
              <w:rPr/>
            </w:pPr>
            <w:r>
              <w:rPr/>
              <w:t> </w:t>
            </w:r>
          </w:p>
        </w:tc>
        <w:tc>
          <w:tcPr>
            <w:tcW w:w="11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Date</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Daniel Jeffrey Kimes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Chief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Daniel Jeffrey Kimes</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Rosemarie Cicalese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Chief Financial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Rosemarie Cicalese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(Principal Financial and Accounting Officer)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Joe Drysdale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Chairman of the Board</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Joe Drysdale</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Lee Canaan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Lee Canaan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Joseph Colonnetta</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Joseph Colonnetta</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Win Graham</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Win Graham</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Brian Minnehan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pPr>
            <w:r>
              <w:rPr/>
              <w:t>Brian Minnehan</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r>
        <w:trPr/>
        <w:tc>
          <w:tcPr>
            <w:tcW w:w="1955" w:type="dxa"/>
            <w:tcBorders>
              <w:bottom w:val="single" w:sz="8" w:space="0" w:color="000000"/>
            </w:tcBorders>
            <w:shd w:fill="auto" w:val="cle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/s/ Alberto Pontonio</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Director</w:t>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rFonts w:ascii="Times New Roman;Times;Serif" w:hAnsi="Times New Roman;Times;Serif"/>
                <w:color w:val="231F20"/>
                <w:sz w:val="20"/>
              </w:rPr>
            </w:pPr>
            <w:r>
              <w:rPr>
                <w:rFonts w:ascii="Times New Roman;Times;Serif" w:hAnsi="Times New Roman;Times;Serif"/>
                <w:color w:val="231F20"/>
                <w:sz w:val="20"/>
              </w:rPr>
              <w:t>May 11, 2023</w:t>
            </w:r>
          </w:p>
        </w:tc>
      </w:tr>
      <w:tr>
        <w:trPr/>
        <w:tc>
          <w:tcPr>
            <w:tcW w:w="1955" w:type="dxa"/>
            <w:tcBorders/>
            <w:shd w:fill="auto" w:val="clear"/>
            <w:tcMar>
              <w:bottom w:w="0" w:type="dxa"/>
            </w:tcMar>
            <w:vAlign w:val="center"/>
          </w:tcPr>
          <w:p>
            <w:pPr>
              <w:pStyle w:val="TableContents"/>
              <w:spacing w:before="0" w:after="283"/>
              <w:rPr>
                <w:rFonts w:ascii="Times New Roman;Times;Serif" w:hAnsi="Times New Roman;Times;Serif"/>
                <w:color w:val="231F20"/>
                <w:sz w:val="20"/>
              </w:rPr>
            </w:pPr>
            <w:r>
              <w:rPr>
                <w:rFonts w:ascii="Times New Roman;Times;Serif" w:hAnsi="Times New Roman;Times;Serif"/>
                <w:color w:val="231F20"/>
                <w:sz w:val="20"/>
              </w:rPr>
              <w:t>Alberto Pontonio</w:t>
            </w:r>
          </w:p>
        </w:tc>
        <w:tc>
          <w:tcPr>
            <w:tcW w:w="60" w:type="dxa"/>
            <w:tcBorders/>
            <w:shd w:fill="auto" w:val="clear"/>
            <w:tcMar>
              <w:bottom w:w="0" w:type="dxa"/>
            </w:tcMar>
            <w:vAlign w:val="center"/>
          </w:tcPr>
          <w:p>
            <w:pPr>
              <w:pStyle w:val="TableContents"/>
              <w:spacing w:before="0" w:after="283"/>
              <w:rPr/>
            </w:pPr>
            <w:r>
              <w:rPr/>
              <w:t> </w:t>
            </w:r>
          </w:p>
        </w:tc>
        <w:tc>
          <w:tcPr>
            <w:tcW w:w="363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17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II- 6</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 w:name="tm236205d18_ex8-1.htm"/>
      <w:bookmarkStart w:id="3" w:name="kstm236205d18_ex81"/>
      <w:bookmarkEnd w:id="2"/>
      <w:bookmarkEnd w:id="3"/>
      <w:r>
        <w:rPr>
          <w:rFonts w:ascii="Times New Roman;Times;Serif" w:hAnsi="Times New Roman;Times;Serif"/>
          <w:b/>
          <w:i w:val="false"/>
          <w:caps w:val="false"/>
          <w:smallCaps w:val="false"/>
          <w:sz w:val="20"/>
        </w:rPr>
        <w:t>Exhibit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Bracewell LLP</w:t>
        <w:br/>
        <w:t>31 West 52nd Street</w:t>
        <w:br/>
        <w:t>Suite 1900</w:t>
        <w:br/>
        <w:t>New York, NY 10019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Tools International Holdings,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3701 Briarpark Drive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150</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Drilling Tools International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Agreement and Plan of Merger dated as of February 13, 2023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ROC Energy Acquisition Corp., a Delaware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and ROC Merger Sub, Inc., a Delaware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with the Company surviving such merger as a wholly-owned subsidiary of Acquiror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For purposes of this opinion, capitalized terms used but not otherwise defined herein shall have the meaning given to such terms in the Merger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delivered in connection with the filing of the registration statement on Form S-4 (as amended,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on the date hereof by the Company, including the proxy statement/prospectus/consent solicitation statement constituting a part thereof (the “</w:t>
      </w:r>
      <w:r>
        <w:rPr>
          <w:rFonts w:ascii="Times New Roman;Times;Serif" w:hAnsi="Times New Roman;Times;Serif"/>
          <w:b w:val="false"/>
          <w:i w:val="false"/>
          <w:caps w:val="false"/>
          <w:smallCaps w:val="false"/>
          <w:sz w:val="20"/>
          <w:u w:val="single"/>
        </w:rPr>
        <w:t>Proxy Statement/Prospectus/Consent Solicitation Statement</w:t>
      </w:r>
      <w:r>
        <w:rPr>
          <w:rFonts w:ascii="Times New Roman;Times;Serif" w:hAnsi="Times New Roman;Times;Serif"/>
          <w:b w:val="false"/>
          <w:i w:val="false"/>
          <w:caps w:val="false"/>
          <w:smallCaps w:val="false"/>
          <w:sz w:val="20"/>
        </w:rPr>
        <w:t>”), with the Securities and Exchange Commission under the Securities Act of 1933, as amended, in relation to the Merger, and to which this opinion is an exhibit.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our opinion, we have examined and relied on originals or copies, certified or otherwise identified to our satisfaction of (1) the Merger Agreement, including the exhibits, schedules and other attachments thereto, (2) the Registration Statement, (3) the representation letters of officers of the Company and Acquiror (each a “</w:t>
      </w:r>
      <w:r>
        <w:rPr>
          <w:rFonts w:ascii="Times New Roman;Times;Serif" w:hAnsi="Times New Roman;Times;Serif"/>
          <w:b w:val="false"/>
          <w:i w:val="false"/>
          <w:caps w:val="false"/>
          <w:smallCaps w:val="false"/>
          <w:sz w:val="20"/>
          <w:u w:val="single"/>
        </w:rPr>
        <w:t>Representation Party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Representation Parties</w:t>
      </w:r>
      <w:r>
        <w:rPr>
          <w:rFonts w:ascii="Times New Roman;Times;Serif" w:hAnsi="Times New Roman;Times;Serif"/>
          <w:b w:val="false"/>
          <w:i w:val="false"/>
          <w:caps w:val="false"/>
          <w:smallCaps w:val="false"/>
          <w:sz w:val="20"/>
        </w:rPr>
        <w:t>”) delivered to us for purposes of rendering our opinion (the “</w:t>
      </w:r>
      <w:r>
        <w:rPr>
          <w:rFonts w:ascii="Times New Roman;Times;Serif" w:hAnsi="Times New Roman;Times;Serif"/>
          <w:b w:val="false"/>
          <w:i w:val="false"/>
          <w:caps w:val="false"/>
          <w:smallCaps w:val="false"/>
          <w:sz w:val="20"/>
          <w:u w:val="single"/>
        </w:rPr>
        <w:t>Representation Letters</w:t>
      </w:r>
      <w:r>
        <w:rPr>
          <w:rFonts w:ascii="Times New Roman;Times;Serif" w:hAnsi="Times New Roman;Times;Serif"/>
          <w:b w:val="false"/>
          <w:i w:val="false"/>
          <w:caps w:val="false"/>
          <w:smallCaps w:val="false"/>
          <w:sz w:val="20"/>
        </w:rPr>
        <w:t>”), and (4) such other documents, certificates and records as we have deemed necessary or appropriate as a basis for our opinion. In our examination, we have assumed the genuineness of all signatures, the legal capacity of natural persons, the authenticity of all documents submitted to us as originals, the conformity to original documents of all documents submitted to us as certified, conformed, photostatic, or electronic copies, and the authenticity of the originals of such documents. In making our examination of documents executed, or to be executed, we have assumed that the parties thereto had, or will have, the legal authority to enter into and to perform all obligations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relied upon statements and representations of officers and other representatives of the Representation Parties, and we have assumed, with your permission, that such statements and representations, including those set forth in the Representation Letters, are and will continue to be accurate and complete without regard to any qualification as to knowledge, belief, intent, or otherwise. We have assumed, with your permission, that the Representation Letters will be executed in substantially the same form as those versions we have previously reviewed and that we will render our opinion, in each case, as of the Effective Time. In addition, we have assumed, with your permission, that (1) the Merger will be consummated in the manner described in the Merger Agreement and the Registration Statement and that none of the terms or conditions contained therein will be waived or modified, (2) the Merger Agreement, the Registration Statement, and the Representation Letters accurately reflect the facts relating to each of the Representation Parties and the Merger, and (3) the parties to the Merger Agreement have complied with and, if applicable, will continue to comply with, the covenants contained in the Merger Agreement. Our opinion assumes and is expressly conditioned on, among other things, the initial and continuing accuracy of the facts, information, covenants, and representations and warranties set forth in the documents referred to above. Please note that, for purposes of our opinion, we have not independently verified all of the facts, representations, and covenants set forth in the Merger Agreement, the Registration Statement, the Representation Letters, or any other document (other than verification as we have deemed necessary to fulfill our professional responsibilities as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represents our best professional judgment regarding the application of U.S. federal income tax laws arising under the Code and the Treasury Regulations promulgated thereunder, existing judicial decisions, and published rulings and procedures, but does not address all of the U.S. federal income tax consequences of the Merger. We express no opinion as to any U.S. federal, state, local, foreign, or other tax consequences, other than to the extent set forth herein. Our opinion is not binding upon the IRS or the courts, and there is no assurance that the IRS will not assert a contrary position. Furthermore, no assurance can be given that future legislative, judicial, or administrative changes, whether applicable on a prospective or retroactive basis, would not adversely affect the validity or accuracy of the conclusions stated herein. Nevertheless, we undertake no responsibility to advise you of any new developments in the application or interpretation of relevant U.S. federal income tax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limitations, qualifications, assumptions, and caveats set forth herein, we confirm that (1) we are of the opinion that the Merger will qualify as a “reorganization” within the meaning of Section 368(a) of the Code and (2) the disclosure contained in the Proxy Statement/Prospectus/Consent Solicitation Statement under the heading “Material U.S. Federal Income Tax Considerations—Tax Treatment to U.S. Holders of DTI Capital Stock” constitutes our opinion insofar as it expresses conclusions as to the application of U.S. federal income tax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no opinion is expressed as to any transaction other than the Merger as described in the Merger Agreement and the Registration Statement. Furthermore, no opinion is expressed as to any matter whatsoever, including the Merger, if, to the extent relevant to our opinion, either (1) any of the transactions described in the Merger Agreement is not consummated in accordance with the terms of the Merger Agreement and without waiver or breach of any provisions thereof or (2) any of the factual statements, representations, warranties, and assumptions upon which we have relied, including those set forth in the Merger Agreement, the Registration Statement and the Representation Letters, is not true and accurate at all relevant times.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8.1 to the Registration Statement and to the references to our firm name in the Proxy Statement/Prospectus/Consent Solicitation Statement under the captions “Questions and Answers About the Proposals for ROC Stockholders,” “Summary of the Proxy Statement/Prospectus/Consent Solicitation Statement—Tax Treatment of the Business Combination,” and “Material U.S. Federal Income Tax Considerations—Tax Treatment to U.S. Holders of DTI Capital Stock.”</w:t>
      </w:r>
    </w:p>
    <w:p>
      <w:pPr>
        <w:pStyle w:val="TextBody"/>
        <w:spacing w:before="0" w:after="0"/>
        <w:ind w:left="0" w:right="0" w:hanging="0"/>
        <w:rPr>
          <w:caps w:val="false"/>
          <w:smallCaps w:val="false"/>
        </w:rPr>
      </w:pPr>
      <w:r>
        <w:rPr>
          <w:caps w:val="false"/>
          <w:smallCaps w:val="false"/>
        </w:rPr>
        <w:t> </w:t>
      </w:r>
    </w:p>
    <w:tbl>
      <w:tblPr>
        <w:tblW w:w="1835" w:type="dxa"/>
        <w:jc w:val="left"/>
        <w:tblInd w:w="0" w:type="dxa"/>
        <w:tblCellMar>
          <w:top w:w="0" w:type="dxa"/>
          <w:left w:w="0" w:type="dxa"/>
          <w:bottom w:w="0" w:type="dxa"/>
          <w:right w:w="0" w:type="dxa"/>
        </w:tblCellMar>
      </w:tblPr>
      <w:tblGrid>
        <w:gridCol w:w="1760"/>
        <w:gridCol w:w="75"/>
      </w:tblGrid>
      <w:tr>
        <w:trPr/>
        <w:tc>
          <w:tcPr>
            <w:tcW w:w="1760" w:type="dxa"/>
            <w:tcBorders/>
            <w:shd w:fill="auto" w:val="clear"/>
            <w:vAlign w:val="center"/>
          </w:tcPr>
          <w:p>
            <w:pPr>
              <w:pStyle w:val="TableContents"/>
              <w:spacing w:before="0" w:after="283"/>
              <w:jc w:val="left"/>
              <w:rPr/>
            </w:pPr>
            <w:r>
              <w:rPr/>
              <w:t>Very truly yours,</w:t>
            </w:r>
          </w:p>
        </w:tc>
        <w:tc>
          <w:tcPr>
            <w:tcW w:w="75" w:type="dxa"/>
            <w:tcBorders/>
            <w:shd w:fill="auto" w:val="clear"/>
            <w:vAlign w:val="center"/>
          </w:tcPr>
          <w:p>
            <w:pPr>
              <w:pStyle w:val="TableContents"/>
              <w:spacing w:before="0" w:after="283"/>
              <w:jc w:val="both"/>
              <w:rPr/>
            </w:pPr>
            <w:r>
              <w:rPr/>
              <w:t> </w:t>
            </w:r>
          </w:p>
        </w:tc>
      </w:tr>
      <w:tr>
        <w:trPr/>
        <w:tc>
          <w:tcPr>
            <w:tcW w:w="17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r>
        <w:trPr/>
        <w:tc>
          <w:tcPr>
            <w:tcW w:w="1760" w:type="dxa"/>
            <w:tcBorders>
              <w:bottom w:val="single" w:sz="8" w:space="0" w:color="000000"/>
            </w:tcBorders>
            <w:shd w:fill="auto" w:val="clear"/>
            <w:tcMar>
              <w:bottom w:w="28" w:type="dxa"/>
            </w:tcMar>
            <w:vAlign w:val="center"/>
          </w:tcPr>
          <w:p>
            <w:pPr>
              <w:pStyle w:val="TableContents"/>
              <w:spacing w:before="0" w:after="283"/>
              <w:jc w:val="left"/>
              <w:rPr/>
            </w:pPr>
            <w:r>
              <w:rPr/>
              <w:t>/s/ Bracewell LLP</w:t>
            </w:r>
          </w:p>
        </w:tc>
        <w:tc>
          <w:tcPr>
            <w:tcW w:w="75" w:type="dxa"/>
            <w:tcBorders/>
            <w:shd w:fill="auto" w:val="clear"/>
            <w:vAlign w:val="center"/>
          </w:tcPr>
          <w:p>
            <w:pPr>
              <w:pStyle w:val="TableContents"/>
              <w:spacing w:before="0" w:after="283"/>
              <w:jc w:val="both"/>
              <w:rPr/>
            </w:pPr>
            <w:r>
              <w:rPr/>
              <w:t> </w:t>
            </w:r>
          </w:p>
        </w:tc>
      </w:tr>
      <w:tr>
        <w:trPr/>
        <w:tc>
          <w:tcPr>
            <w:tcW w:w="17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r>
        <w:trPr/>
        <w:tc>
          <w:tcPr>
            <w:tcW w:w="1760" w:type="dxa"/>
            <w:tcBorders/>
            <w:shd w:fill="auto" w:val="clear"/>
            <w:vAlign w:val="center"/>
          </w:tcPr>
          <w:p>
            <w:pPr>
              <w:pStyle w:val="TableContents"/>
              <w:spacing w:before="0" w:after="283"/>
              <w:jc w:val="left"/>
              <w:rPr/>
            </w:pPr>
            <w:r>
              <w:rPr/>
              <w:t>Bracewell LLP</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4516/000110465921147247/tm2134747d1_ex3-1.htm" TargetMode="External"/><Relationship Id="rId3" Type="http://schemas.openxmlformats.org/officeDocument/2006/relationships/hyperlink" Target="https://www.sec.gov/Archives/edgar/data/1884516/000110465921147247/tm2134747d1_ex3-1.htm" TargetMode="External"/><Relationship Id="rId4" Type="http://schemas.openxmlformats.org/officeDocument/2006/relationships/hyperlink" Target="https://www.sec.gov/Archives/edgar/data/1884516/000110465921135914/tm2130852d5_ex3-3.htm" TargetMode="External"/><Relationship Id="rId5" Type="http://schemas.openxmlformats.org/officeDocument/2006/relationships/hyperlink" Target="https://www.sec.gov/Archives/edgar/data/1884516/000110465921135914/tm2130852d5_ex3-3.htm" TargetMode="External"/><Relationship Id="rId6" Type="http://schemas.openxmlformats.org/officeDocument/2006/relationships/hyperlink" Target="https://www.sec.gov/Archives/edgar/data/1884516/000110465923021677/rocau-20220930xex3d4.htm" TargetMode="External"/><Relationship Id="rId7" Type="http://schemas.openxmlformats.org/officeDocument/2006/relationships/hyperlink" Target="https://www.sec.gov/Archives/edgar/data/1884516/000110465923021677/rocau-20220930xex3d4.htm" TargetMode="External"/><Relationship Id="rId8" Type="http://schemas.openxmlformats.org/officeDocument/2006/relationships/hyperlink" Target="https://www.sec.gov/Archives/edgar/data/1884516/000110465921139329/tm2130852d8_ex4-1.htm" TargetMode="External"/><Relationship Id="rId9" Type="http://schemas.openxmlformats.org/officeDocument/2006/relationships/hyperlink" Target="https://www.sec.gov/Archives/edgar/data/1884516/000110465921139329/tm2130852d8_ex4-1.htm" TargetMode="External"/><Relationship Id="rId10" Type="http://schemas.openxmlformats.org/officeDocument/2006/relationships/hyperlink" Target="https://www.sec.gov/Archives/edgar/data/1884516/000110465921139329/tm2130852d8_ex4-2.htm" TargetMode="External"/><Relationship Id="rId11" Type="http://schemas.openxmlformats.org/officeDocument/2006/relationships/hyperlink" Target="https://www.sec.gov/Archives/edgar/data/1884516/000110465921139329/tm2130852d8_ex4-2.htm" TargetMode="External"/><Relationship Id="rId12" Type="http://schemas.openxmlformats.org/officeDocument/2006/relationships/hyperlink" Target="https://www.sec.gov/Archives/edgar/data/1884516/000110465921139329/tm2130852d8_ex4-3.htm" TargetMode="External"/><Relationship Id="rId13" Type="http://schemas.openxmlformats.org/officeDocument/2006/relationships/hyperlink" Target="https://www.sec.gov/Archives/edgar/data/1884516/000110465921139329/tm2130852d8_ex4-3.htm" TargetMode="External"/><Relationship Id="rId14" Type="http://schemas.openxmlformats.org/officeDocument/2006/relationships/hyperlink" Target="https://www.sec.gov/Archives/edgar/data/1884516/000110465921147247/tm2134747d1_ex4-1.htm" TargetMode="External"/><Relationship Id="rId15" Type="http://schemas.openxmlformats.org/officeDocument/2006/relationships/hyperlink" Target="https://www.sec.gov/Archives/edgar/data/1884516/000110465921147247/tm2134747d1_ex4-1.htm" TargetMode="External"/><Relationship Id="rId16" Type="http://schemas.openxmlformats.org/officeDocument/2006/relationships/hyperlink" Target="https://www.sec.gov/Archives/edgar/data/1884516/000110465923021677/rocau-20220930xex5d1.htm" TargetMode="External"/><Relationship Id="rId17" Type="http://schemas.openxmlformats.org/officeDocument/2006/relationships/hyperlink" Target="https://www.sec.gov/Archives/edgar/data/1884516/000110465923021677/rocau-20220930xex5d1.htm" TargetMode="External"/><Relationship Id="rId18" Type="http://schemas.openxmlformats.org/officeDocument/2006/relationships/hyperlink" Target="https://www.sec.gov/Archives/edgar/data/1884516/000110465921147247/tm2134747d1_ex10-1.htm" TargetMode="External"/><Relationship Id="rId19" Type="http://schemas.openxmlformats.org/officeDocument/2006/relationships/hyperlink" Target="https://www.sec.gov/Archives/edgar/data/1884516/000110465921147247/tm2134747d1_ex10-1.htm" TargetMode="External"/><Relationship Id="rId20" Type="http://schemas.openxmlformats.org/officeDocument/2006/relationships/hyperlink" Target="https://www.sec.gov/Archives/edgar/data/1884516/000110465921147247/tm2134747d1_ex10-2.htm" TargetMode="External"/><Relationship Id="rId21" Type="http://schemas.openxmlformats.org/officeDocument/2006/relationships/hyperlink" Target="https://www.sec.gov/Archives/edgar/data/1884516/000110465921147247/tm2134747d1_ex10-2.htm" TargetMode="External"/><Relationship Id="rId22" Type="http://schemas.openxmlformats.org/officeDocument/2006/relationships/hyperlink" Target="https://www.sec.gov/Archives/edgar/data/1884516/000110465921147247/tm2134747d1_ex10-3.htm" TargetMode="External"/><Relationship Id="rId23" Type="http://schemas.openxmlformats.org/officeDocument/2006/relationships/hyperlink" Target="https://www.sec.gov/Archives/edgar/data/1884516/000110465921147247/tm2134747d1_ex10-3.htm" TargetMode="External"/><Relationship Id="rId24" Type="http://schemas.openxmlformats.org/officeDocument/2006/relationships/hyperlink" Target="https://www.sec.gov/Archives/edgar/data/1884516/000110465921147247/tm2134747d1_ex10-4.htm" TargetMode="External"/><Relationship Id="rId25" Type="http://schemas.openxmlformats.org/officeDocument/2006/relationships/hyperlink" Target="https://www.sec.gov/Archives/edgar/data/1884516/000110465921147247/tm2134747d1_ex10-4.htm" TargetMode="External"/><Relationship Id="rId26" Type="http://schemas.openxmlformats.org/officeDocument/2006/relationships/hyperlink" Target="https://www.sec.gov/Archives/edgar/data/1884516/000110465921135914/tm2130852d5_ex10-5.htm" TargetMode="External"/><Relationship Id="rId27" Type="http://schemas.openxmlformats.org/officeDocument/2006/relationships/hyperlink" Target="https://www.sec.gov/Archives/edgar/data/1884516/000110465921135914/tm2130852d5_ex10-5.htm" TargetMode="External"/><Relationship Id="rId28" Type="http://schemas.openxmlformats.org/officeDocument/2006/relationships/hyperlink" Target="https://www.sec.gov/Archives/edgar/data/1884516/000110465921147247/tm2134747d1_ex10-5.htm" TargetMode="External"/><Relationship Id="rId29" Type="http://schemas.openxmlformats.org/officeDocument/2006/relationships/hyperlink" Target="https://www.sec.gov/Archives/edgar/data/1884516/000110465921147247/tm2134747d1_ex10-5.htm" TargetMode="External"/><Relationship Id="rId30" Type="http://schemas.openxmlformats.org/officeDocument/2006/relationships/hyperlink" Target="https://www.sec.gov/Archives/edgar/data/1884516/000110465921147247/tm2134747d1_ex10-6.htm" TargetMode="External"/><Relationship Id="rId31" Type="http://schemas.openxmlformats.org/officeDocument/2006/relationships/hyperlink" Target="https://www.sec.gov/Archives/edgar/data/1884516/000110465921147247/tm2134747d1_ex10-6.htm" TargetMode="External"/><Relationship Id="rId32" Type="http://schemas.openxmlformats.org/officeDocument/2006/relationships/hyperlink" Target="https://www.sec.gov/Archives/edgar/data/1884516/000110465921135914/tm2130852d5_ex10-9.htm" TargetMode="External"/><Relationship Id="rId33" Type="http://schemas.openxmlformats.org/officeDocument/2006/relationships/hyperlink" Target="https://www.sec.gov/Archives/edgar/data/1884516/000110465921135914/tm2130852d5_ex10-9.htm" TargetMode="External"/><Relationship Id="rId34" Type="http://schemas.openxmlformats.org/officeDocument/2006/relationships/hyperlink" Target="https://www.sec.gov/Archives/edgar/data/1884516/000110465921139329/tm2130852d8_ex10-6.htm" TargetMode="External"/><Relationship Id="rId35" Type="http://schemas.openxmlformats.org/officeDocument/2006/relationships/hyperlink" Target="https://www.sec.gov/Archives/edgar/data/1884516/000110465921139329/tm2130852d8_ex10-6.htm" TargetMode="External"/><Relationship Id="rId36" Type="http://schemas.openxmlformats.org/officeDocument/2006/relationships/hyperlink" Target="https://www.sec.gov/Archives/edgar/data/1884516/000110465923021677/rocau-20220930xex10d11.htm" TargetMode="External"/><Relationship Id="rId37" Type="http://schemas.openxmlformats.org/officeDocument/2006/relationships/hyperlink" Target="https://www.sec.gov/Archives/edgar/data/1884516/000110465923021677/rocau-20220930xex10d11.htm" TargetMode="External"/><Relationship Id="rId38" Type="http://schemas.openxmlformats.org/officeDocument/2006/relationships/hyperlink" Target="https://www.sec.gov/Archives/edgar/data/1884516/000110465923021677/rocau-20220930xex10d12.htm" TargetMode="External"/><Relationship Id="rId39" Type="http://schemas.openxmlformats.org/officeDocument/2006/relationships/hyperlink" Target="https://www.sec.gov/Archives/edgar/data/1884516/000110465923021677/rocau-20220930xex10d12.htm" TargetMode="External"/><Relationship Id="rId40" Type="http://schemas.openxmlformats.org/officeDocument/2006/relationships/hyperlink" Target="https://www.sec.gov/Archives/edgar/data/1884516/000110465923048548/tm236205d14_ex10-13.htm" TargetMode="External"/><Relationship Id="rId41" Type="http://schemas.openxmlformats.org/officeDocument/2006/relationships/hyperlink" Target="https://www.sec.gov/Archives/edgar/data/1884516/000110465923048548/tm236205d14_ex10-13.htm" TargetMode="External"/><Relationship Id="rId42" Type="http://schemas.openxmlformats.org/officeDocument/2006/relationships/hyperlink" Target="https://www.sec.gov/Archives/edgar/data/1884516/000110465923021677/rocau-20220930xex10d14.htm" TargetMode="External"/><Relationship Id="rId43" Type="http://schemas.openxmlformats.org/officeDocument/2006/relationships/hyperlink" Target="https://www.sec.gov/Archives/edgar/data/1884516/000110465923021677/rocau-20220930xex10d14.htm" TargetMode="External"/><Relationship Id="rId44" Type="http://schemas.openxmlformats.org/officeDocument/2006/relationships/hyperlink" Target="https://www.sec.gov/Archives/edgar/data/1884516/000110465923005399/tm234064d1_ex99-1.htm" TargetMode="External"/><Relationship Id="rId45" Type="http://schemas.openxmlformats.org/officeDocument/2006/relationships/hyperlink" Target="https://www.sec.gov/Archives/edgar/data/1884516/000110465923005399/tm234064d1_ex99-1.htm" TargetMode="External"/><Relationship Id="rId46" Type="http://schemas.openxmlformats.org/officeDocument/2006/relationships/hyperlink" Target="https://www.sec.gov/Archives/edgar/data/1884516/000110465923021677/rocau-20220930xex10d16.htm" TargetMode="External"/><Relationship Id="rId47" Type="http://schemas.openxmlformats.org/officeDocument/2006/relationships/hyperlink" Target="https://www.sec.gov/Archives/edgar/data/1884516/000110465923021677/rocau-20220930xex10d16.htm" TargetMode="External"/><Relationship Id="rId48" Type="http://schemas.openxmlformats.org/officeDocument/2006/relationships/hyperlink" Target="https://www.sec.gov/Archives/edgar/data/1884516/000110465923021677/rocau-20220930xex10d17.htm" TargetMode="External"/><Relationship Id="rId49" Type="http://schemas.openxmlformats.org/officeDocument/2006/relationships/hyperlink" Target="https://www.sec.gov/Archives/edgar/data/1884516/000110465923021677/rocau-20220930xex10d17.htm" TargetMode="External"/><Relationship Id="rId50" Type="http://schemas.openxmlformats.org/officeDocument/2006/relationships/hyperlink" Target="https://www.sec.gov/Archives/edgar/data/1884516/000110465923021677/rocau-20220930xex10d18.htm" TargetMode="External"/><Relationship Id="rId51" Type="http://schemas.openxmlformats.org/officeDocument/2006/relationships/hyperlink" Target="https://www.sec.gov/Archives/edgar/data/1884516/000110465923021677/rocau-20220930xex10d18.htm" TargetMode="External"/><Relationship Id="rId52" Type="http://schemas.openxmlformats.org/officeDocument/2006/relationships/hyperlink" Target="https://www.sec.gov/Archives/edgar/data/1884516/000110465923048548/tm236205d14_ex21-1.htm" TargetMode="External"/><Relationship Id="rId53" Type="http://schemas.openxmlformats.org/officeDocument/2006/relationships/hyperlink" Target="https://www.sec.gov/Archives/edgar/data/1884516/000110465923048548/tm236205d14_ex21-1.htm" TargetMode="External"/><Relationship Id="rId54" Type="http://schemas.openxmlformats.org/officeDocument/2006/relationships/hyperlink" Target="https://www.sec.gov/Archives/edgar/data/1884516/000110465923057253/tm236205d16_ex23-1.htm" TargetMode="External"/><Relationship Id="rId55" Type="http://schemas.openxmlformats.org/officeDocument/2006/relationships/hyperlink" Target="https://www.sec.gov/Archives/edgar/data/1884516/000110465923057253/tm236205d16_ex23-1.htm" TargetMode="External"/><Relationship Id="rId56" Type="http://schemas.openxmlformats.org/officeDocument/2006/relationships/hyperlink" Target="https://www.sec.gov/Archives/edgar/data/1884516/000110465923057253/tm236205d16_ex23-2.htm" TargetMode="External"/><Relationship Id="rId57" Type="http://schemas.openxmlformats.org/officeDocument/2006/relationships/hyperlink" Target="https://www.sec.gov/Archives/edgar/data/1884516/000110465923057253/tm236205d16_ex23-2.htm" TargetMode="External"/><Relationship Id="rId58" Type="http://schemas.openxmlformats.org/officeDocument/2006/relationships/hyperlink" Target="https://www.sec.gov/Archives/edgar/data/1884516/000110465923021677/rocau-20220930xex5d1.htm" TargetMode="External"/><Relationship Id="rId59" Type="http://schemas.openxmlformats.org/officeDocument/2006/relationships/hyperlink" Target="https://www.sec.gov/Archives/edgar/data/1884516/000110465923021677/rocau-20220930xex5d1.htm" TargetMode="External"/><Relationship Id="rId60" Type="http://schemas.openxmlformats.org/officeDocument/2006/relationships/hyperlink" Target="https://www.sec.gov/Archives/edgar/data/1884516/000110465923021677/rocau-20220930xex99d1.htm" TargetMode="External"/><Relationship Id="rId61" Type="http://schemas.openxmlformats.org/officeDocument/2006/relationships/hyperlink" Target="https://www.sec.gov/Archives/edgar/data/1884516/000110465923021677/rocau-20220930xex99d1.htm" TargetMode="External"/><Relationship Id="rId62" Type="http://schemas.openxmlformats.org/officeDocument/2006/relationships/hyperlink" Target="https://www.sec.gov/Archives/edgar/data/1884516/000110465923021677/rocau-20220930xex99d2.htm" TargetMode="External"/><Relationship Id="rId63" Type="http://schemas.openxmlformats.org/officeDocument/2006/relationships/hyperlink" Target="https://www.sec.gov/Archives/edgar/data/1884516/000110465923021677/rocau-20220930xex99d2.htm" TargetMode="External"/><Relationship Id="rId64" Type="http://schemas.openxmlformats.org/officeDocument/2006/relationships/hyperlink" Target="https://www.sec.gov/Archives/edgar/data/1884516/000110465923021677/rocau-20220930xex99d3.htm" TargetMode="External"/><Relationship Id="rId65" Type="http://schemas.openxmlformats.org/officeDocument/2006/relationships/hyperlink" Target="https://www.sec.gov/Archives/edgar/data/1884516/000110465923021677/rocau-20220930xex99d3.htm" TargetMode="External"/><Relationship Id="rId66" Type="http://schemas.openxmlformats.org/officeDocument/2006/relationships/hyperlink" Target="https://www.sec.gov/Archives/edgar/data/1884516/000110465923021677/rocau-20220930xex99d4.htm" TargetMode="External"/><Relationship Id="rId67" Type="http://schemas.openxmlformats.org/officeDocument/2006/relationships/hyperlink" Target="https://www.sec.gov/Archives/edgar/data/1884516/000110465923021677/rocau-20220930xex99d4.htm" TargetMode="External"/><Relationship Id="rId68" Type="http://schemas.openxmlformats.org/officeDocument/2006/relationships/hyperlink" Target="https://www.sec.gov/Archives/edgar/data/1884516/000110465923021677/rocau-20220930xex99d5.htm" TargetMode="External"/><Relationship Id="rId69" Type="http://schemas.openxmlformats.org/officeDocument/2006/relationships/hyperlink" Target="https://www.sec.gov/Archives/edgar/data/1884516/000110465923021677/rocau-20220930xex99d5.htm" TargetMode="External"/><Relationship Id="rId70" Type="http://schemas.openxmlformats.org/officeDocument/2006/relationships/hyperlink" Target="https://www.sec.gov/Archives/edgar/data/1884516/000110465923040437/rocau-20221231xex99d6.htm" TargetMode="External"/><Relationship Id="rId71" Type="http://schemas.openxmlformats.org/officeDocument/2006/relationships/hyperlink" Target="https://www.sec.gov/Archives/edgar/data/1884516/000110465923040437/rocau-20221231xex99d6.htm" TargetMode="External"/><Relationship Id="rId72" Type="http://schemas.openxmlformats.org/officeDocument/2006/relationships/hyperlink" Target="https://www.sec.gov/Archives/edgar/data/1884516/000110465923057253/tm236205d16_ex99-7.htm" TargetMode="External"/><Relationship Id="rId73" Type="http://schemas.openxmlformats.org/officeDocument/2006/relationships/hyperlink" Target="https://www.sec.gov/Archives/edgar/data/1884516/000110465923057253/tm236205d16_ex99-7.htm" TargetMode="External"/><Relationship Id="rId74" Type="http://schemas.openxmlformats.org/officeDocument/2006/relationships/hyperlink" Target="https://www.sec.gov/Archives/edgar/data/1884516/000110465923048548/tm236205d14_ex-filingfees.htm" TargetMode="External"/><Relationship Id="rId75" Type="http://schemas.openxmlformats.org/officeDocument/2006/relationships/hyperlink" Target="https://www.sec.gov/Archives/edgar/data/1884516/000110465923048548/tm236205d14_ex-filingfees.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3635</Words>
  <CharactersWithSpaces>23906</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