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870d8k.htm"/>
      <w:bookmarkStart w:id="1" w:name="ksd15087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87-2488708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(832) 742-8500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4220"/>
        <w:gridCol w:w="60"/>
        <w:gridCol w:w="740"/>
        <w:gridCol w:w="60"/>
        <w:gridCol w:w="311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center"/>
              <w:rPr/>
            </w:pPr>
            <w:r>
              <w:rPr/>
              <w:t xml:space="preserve">The Nasdaq Stock Market LLC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as of the conclusion of the 2026 Annual Meeting of Stockholders (the “Annual Meeting”) of Drilling Tools International Corporation (the “Company,” “Drilling Tools” or “DTI”), held on April 28, 2026, Ira H. Green, Jr., Daniel J. Kimes and Jeremy D. Thigpen were elected and R. Wayne Prejean, Curtis L. Crofford, John D. Furst, and Eric Neuman were reelected to serve as directors of the Company, each to hold office until the Company’s 2027 Annual Meeting of Stockholders and until his successor is duly elected and qualified. The information required by Items 401(b), 401(d) and 404(a) of Regulation S-K with respect to Messrs. Green, Kimes, Thigpen, Prejean, Crofford, Furst, and Neuman is incorporated herein by reference from the Company’s Definitive Proxy Statement on Schedule 14A for the Annual Meeting, filed with the Securities and Exchange Commission on March 13, 2026.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January 26, 2026, the Board of Directors (the “Board”) appointed R. Wayne Prejean, the Company’s President and Chief Executive Officer and then-current Interim Chairman of the Board, to serve as Chairman of the Board, effective as of the conclusion of the Annual Meeting. Effective as of the conclusion of the Annual Meeting on April 28, 2026, Mr. Prejean commenced service as Chairman of the Board while continuing to serve as the Company’s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on January 26, 2026, the Board also designated John D. “Jack” Furst to serve as Lead Independent Director, effective as of the 2026 Annual Meeting and subject to his reelection to the Board. Effective as of the conclusion of the Annual Meeting on April 28, 2026, Mr. Furst commenced service as the Board’s Lead Independent Director.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2026, in connection with the Annual Meeting and the expiration of their current terms, Thomas M. “Roe” Patterson and C. Richard Vermillion ceased serving as directors of the Company. As previously disclosed, on December 16, 2025, Mr. Patterson informed the Board of his decision not to seek reelection to the Board, effective concurrently with the Company’s next annual meeting of stockholders, and Mr. Patterson’s decision was not the result of any disagreement with the Company on any matter relating to the Company’s operations, policies or practices. As previously disclosed, on January 26, 2026, Mr. Vermillion informed the Board of his decision not to seek reelection to the Board, effective concurrently with the Company’s next annual meeting of stockholders, and Mr. Vermillion’s decision was not the result of any disagreement with the Company on any matter relating to the Company’s operations, policies or practices.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Annual Meeting was held on April 28, 2026. At the Annual Meeting, 18,789,793 shares of the Company’s common stock, par value $0.0001 per share, or approximately 53.39%, of the 35,188,260 issued and outstanding shares entitled to vote at the Annual Meeting were present in person or by proxies. </w:t>
      </w:r>
    </w:p>
    <w:p>
      <w:pPr>
        <w:pStyle w:val="TextBody"/>
        <w:bidi w:val="0"/>
        <w:spacing w:before="240" w:after="0"/>
        <w:jc w:val="left"/>
        <w:rPr>
          <w:rFonts w:ascii="Times New Roman" w:hAnsi="Times New Roman"/>
          <w:sz w:val="20"/>
        </w:rPr>
      </w:pPr>
      <w:r>
        <w:rPr>
          <w:rFonts w:ascii="Times New Roman" w:hAnsi="Times New Roman"/>
          <w:sz w:val="20"/>
        </w:rPr>
        <w:t xml:space="preserve">The final results of the voting on each matter of business at the Annual Meeting are as follows: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Proposal 1 – Election of Directors. </w:t>
      </w:r>
    </w:p>
    <w:p>
      <w:pPr>
        <w:pStyle w:val="TextBody"/>
        <w:bidi w:val="0"/>
        <w:spacing w:before="0" w:after="0"/>
        <w:jc w:val="left"/>
        <w:rPr/>
      </w:pPr>
      <w:r>
        <w:rPr/>
        <w:t> </w:t>
      </w:r>
    </w:p>
    <w:tbl>
      <w:tblPr>
        <w:tblW w:w="6080" w:type="dxa"/>
        <w:jc w:val="left"/>
        <w:tblInd w:w="0" w:type="dxa"/>
        <w:tblLayout w:type="fixed"/>
        <w:tblCellMar>
          <w:top w:w="0" w:type="dxa"/>
          <w:left w:w="0" w:type="dxa"/>
          <w:bottom w:w="0" w:type="dxa"/>
          <w:right w:w="0" w:type="dxa"/>
        </w:tblCellMar>
      </w:tblPr>
      <w:tblGrid>
        <w:gridCol w:w="1745"/>
        <w:gridCol w:w="120"/>
        <w:gridCol w:w="60"/>
        <w:gridCol w:w="980"/>
        <w:gridCol w:w="60"/>
        <w:gridCol w:w="120"/>
        <w:gridCol w:w="75"/>
        <w:gridCol w:w="1235"/>
        <w:gridCol w:w="60"/>
        <w:gridCol w:w="120"/>
        <w:gridCol w:w="82"/>
        <w:gridCol w:w="1348"/>
        <w:gridCol w:w="75"/>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NOMINEES</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pPr>
            <w:r>
              <w:rP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pPr>
            <w:r>
              <w:rPr/>
              <w:t>BROKER</w:t>
              <w:br/>
              <w:t>NON-VOTES</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Curtis L. Crofford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7,540,574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3,855,450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7,393,769</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D. ‘‘Jack’’ Furst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7,677,322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3,718,702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7,393,769</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Ira H. Green, Jr.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8,943,855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2,452,169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7,393,769</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C. Neuman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8,944,169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2,451,855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7,393,769</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J. Kimes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8,940,961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2,455,063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7,393,769</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 Wayne Prejean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8,527,434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2,868,590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348" w:type="dxa"/>
            <w:tcBorders/>
            <w:vAlign w:val="center"/>
          </w:tcPr>
          <w:p>
            <w:pPr>
              <w:pStyle w:val="TableContents"/>
              <w:bidi w:val="0"/>
              <w:spacing w:before="0" w:after="283"/>
              <w:jc w:val="right"/>
              <w:rPr/>
            </w:pPr>
            <w:r>
              <w:rPr/>
              <w:t>7,393,769</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Jeremey D. Thigpen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8,944,277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2,451,747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48" w:type="dxa"/>
            <w:tcBorders/>
            <w:shd w:fill="CCEEFF" w:val="clear"/>
            <w:vAlign w:val="center"/>
          </w:tcPr>
          <w:p>
            <w:pPr>
              <w:pStyle w:val="TableContents"/>
              <w:bidi w:val="0"/>
              <w:spacing w:before="0" w:after="283"/>
              <w:jc w:val="right"/>
              <w:rPr/>
            </w:pPr>
            <w:r>
              <w:rPr/>
              <w:t>7,393,769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u w:val="single"/>
        </w:rPr>
        <w:t>Proposal 2 – Ratification of the appointment of Grant Thornton LLP as Drilling Tools’ independent registered public accounting firm for fiscal year 2026.</w:t>
      </w:r>
      <w:r>
        <w:rPr>
          <w:rFonts w:ascii="Times New Roman" w:hAnsi="Times New Roman"/>
          <w:b/>
          <w:sz w:val="20"/>
        </w:rPr>
        <w:t xml:space="preserve"> </w:t>
      </w:r>
    </w:p>
    <w:p>
      <w:pPr>
        <w:pStyle w:val="TextBody"/>
        <w:bidi w:val="0"/>
        <w:spacing w:before="0" w:after="0"/>
        <w:jc w:val="left"/>
        <w:rPr/>
      </w:pPr>
      <w:r>
        <w:rPr/>
        <w:t> </w:t>
      </w:r>
    </w:p>
    <w:tbl>
      <w:tblPr>
        <w:tblW w:w="2745" w:type="dxa"/>
        <w:jc w:val="left"/>
        <w:tblInd w:w="0" w:type="dxa"/>
        <w:tblLayout w:type="fixed"/>
        <w:tblCellMar>
          <w:top w:w="0" w:type="dxa"/>
          <w:left w:w="0" w:type="dxa"/>
          <w:bottom w:w="0" w:type="dxa"/>
          <w:right w:w="0" w:type="dxa"/>
        </w:tblCellMar>
      </w:tblPr>
      <w:tblGrid>
        <w:gridCol w:w="1115"/>
        <w:gridCol w:w="60"/>
        <w:gridCol w:w="755"/>
        <w:gridCol w:w="60"/>
        <w:gridCol w:w="75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FOR</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AGAINST</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ABSTAIN</w:t>
            </w:r>
          </w:p>
        </w:tc>
      </w:tr>
      <w:tr>
        <w:trPr/>
        <w:tc>
          <w:tcPr>
            <w:tcW w:w="1115" w:type="dxa"/>
            <w:tcBorders/>
            <w:shd w:fill="CCEEFF" w:val="clear"/>
            <w:vAlign w:val="center"/>
          </w:tcPr>
          <w:p>
            <w:pPr>
              <w:pStyle w:val="TableContents"/>
              <w:bidi w:val="0"/>
              <w:spacing w:before="0" w:after="283"/>
              <w:jc w:val="center"/>
              <w:rPr/>
            </w:pPr>
            <w:r>
              <w:rPr/>
              <w:t>18,776,126</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12,368</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1,299</w:t>
            </w:r>
          </w:p>
        </w:tc>
      </w:tr>
    </w:tbl>
    <w:p>
      <w:pPr>
        <w:pStyle w:val="TextBody"/>
        <w:bidi w:val="0"/>
        <w:spacing w:before="0" w:after="0"/>
        <w:jc w:val="left"/>
        <w:rPr/>
      </w:pPr>
      <w:r>
        <w:br w:type="page"/>
      </w: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95"/>
        <w:gridCol w:w="12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and the exhibits attached hereto shall not be deemed to be “filed” for purposes of the Securities Exchange Act of 1934 (the “Exchange Act”) or otherwise subject to the liabilities of that section, not shall it be deemed incorporated by reference in any filing under the Securities Act of 1933, as amended, or the Exchange Act, regardless of any general incorporation language in such filing.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May 1, 2026 </w:t>
      </w:r>
    </w:p>
    <w:p>
      <w:pPr>
        <w:pStyle w:val="TextBody"/>
        <w:bidi w:val="0"/>
        <w:spacing w:before="0" w:after="0"/>
        <w:jc w:val="left"/>
        <w:rPr/>
      </w:pPr>
      <w:r>
        <w:rPr/>
        <w:t> </w:t>
      </w:r>
    </w:p>
    <w:tbl>
      <w:tblPr>
        <w:tblW w:w="5928" w:type="dxa"/>
        <w:jc w:val="left"/>
        <w:tblInd w:w="0" w:type="dxa"/>
        <w:tblLayout w:type="fixed"/>
        <w:tblCellMar>
          <w:top w:w="0" w:type="dxa"/>
          <w:left w:w="0" w:type="dxa"/>
          <w:bottom w:w="0" w:type="dxa"/>
          <w:right w:w="0" w:type="dxa"/>
        </w:tblCellMar>
      </w:tblPr>
      <w:tblGrid>
        <w:gridCol w:w="478"/>
        <w:gridCol w:w="75"/>
        <w:gridCol w:w="5375"/>
      </w:tblGrid>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pPr>
            <w:r>
              <w:rPr/>
              <w:t>DRILLING TOOLS INTERNATIONAL CORPORATION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Chief Financial Officer</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1045</Words>
  <Characters>5746</Characters>
  <CharactersWithSpaces>6846</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