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Prejean Robert Wayne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03/12/2026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491,076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66"/>
        <w:gridCol w:w="831"/>
        <w:gridCol w:w="846"/>
      </w:tblGrid>
      <w:tr>
        <w:trPr>
          <w:tblHeader w:val="true"/>
        </w:trPr>
        <w:tc>
          <w:tcPr>
            <w:tcW w:w="120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213,270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85,721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257,162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1,201,872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substantially equal installments on each of the first four (4) anniversaries of the grant date,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2026, the reporting person was granted 85,721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27, 2026, the reporting person was granted 257,162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All shares of common stock subject to the stock options are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may be deemed to have voting power and dispositive power over the shares held by Robjon Holdings, L.P. ("Robjon"). The Reporting Person is the President, Manager and sole owner of Robjon LLC, Robjon's general partner. The Reporting Person disclaims any beneficial ownership of any shares of common stock held by Robjon, other than his pecuniary interest therein.; On March 12, 2026, the reporting person filed a Form 4 which inadvertently reported that, following the vesting of restricted stock units ("RSUs"), he retained 71,090 shares of common stock. In fact, as reported in this amendment, 18,543 shares were withheld by Drilling Tools International Corp (the "Company") to pay for taxes. The corrected amount is reflected in this amendment.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Wayne Prejean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1986"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5315</Characters>
  <CharactersWithSpaces>6198</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