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dti-20260507.htm"/>
      <w:bookmarkStart w:id="1" w:name="ksdti20260507"/>
      <w:bookmarkEnd w:id="0"/>
      <w:bookmarkEnd w:id="1"/>
      <w:r>
        <w:rPr/>
        <w:t> </w:t>
      </w:r>
    </w:p>
    <w:p>
      <w:pPr>
        <w:pStyle w:val="TextBody"/>
        <w:bidi w:val="0"/>
        <w:jc w:val="left"/>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bidi w:val="0"/>
        <w:spacing w:before="240" w:after="283"/>
        <w:jc w:val="center"/>
        <w:rPr>
          <w:rFonts w:ascii="Arial" w:hAnsi="Arial"/>
          <w:b/>
          <w:color w:val="000000"/>
          <w:sz w:val="32"/>
        </w:rPr>
      </w:pPr>
      <w:r>
        <w:rPr>
          <w:rFonts w:ascii="Arial" w:hAnsi="Arial"/>
          <w:b/>
          <w:color w:val="000000"/>
          <w:sz w:val="32"/>
        </w:rPr>
        <w:t>FORM 8-K</w:t>
      </w:r>
    </w:p>
    <w:p>
      <w:pPr>
        <w:pStyle w:val="TextBody"/>
        <w:bidi w:val="0"/>
        <w:spacing w:before="240" w:after="283"/>
        <w:jc w:val="center"/>
        <w:rPr>
          <w:rFonts w:ascii="Arial" w:hAnsi="Arial"/>
          <w:b/>
          <w:color w:val="000000"/>
          <w:sz w:val="18"/>
        </w:rPr>
      </w:pPr>
      <w:r>
        <w:rPr>
          <w:rFonts w:ascii="Arial" w:hAnsi="Arial"/>
          <w:b/>
          <w:color w:val="000000"/>
          <w:sz w:val="18"/>
        </w:rPr>
        <w:t>CURRENT REPORT</w:t>
      </w:r>
    </w:p>
    <w:p>
      <w:pPr>
        <w:pStyle w:val="TextBody"/>
        <w:bidi w:val="0"/>
        <w:jc w:val="center"/>
        <w:rPr>
          <w:rFonts w:ascii="Arial" w:hAnsi="Arial"/>
          <w:b/>
          <w:color w:val="000000"/>
          <w:sz w:val="18"/>
        </w:rPr>
      </w:pPr>
      <w:r>
        <w:rPr>
          <w:rFonts w:ascii="Arial" w:hAnsi="Arial"/>
          <w:b/>
          <w:color w:val="000000"/>
          <w:sz w:val="18"/>
        </w:rPr>
        <w:t>Pursuant to Section 13 or 15(d) of the</w:t>
      </w:r>
    </w:p>
    <w:p>
      <w:pPr>
        <w:pStyle w:val="TextBody"/>
        <w:bidi w:val="0"/>
        <w:jc w:val="center"/>
        <w:rPr>
          <w:rFonts w:ascii="Arial" w:hAnsi="Arial"/>
          <w:b/>
          <w:color w:val="000000"/>
          <w:sz w:val="18"/>
        </w:rPr>
      </w:pPr>
      <w:r>
        <w:rPr>
          <w:rFonts w:ascii="Arial" w:hAnsi="Arial"/>
          <w:b/>
          <w:color w:val="000000"/>
          <w:sz w:val="18"/>
        </w:rPr>
        <w:t>Securities Exchange Act of 1934</w:t>
      </w:r>
    </w:p>
    <w:p>
      <w:pPr>
        <w:pStyle w:val="TextBody"/>
        <w:bidi w:val="0"/>
        <w:spacing w:before="240" w:after="283"/>
        <w:jc w:val="center"/>
        <w:rPr>
          <w:rFonts w:ascii="Times New Roman" w:hAnsi="Times New Roman"/>
          <w:sz w:val="20"/>
        </w:rPr>
      </w:pPr>
      <w:r>
        <w:rPr>
          <w:rFonts w:ascii="Arial" w:hAnsi="Arial"/>
          <w:color w:val="000000"/>
          <w:sz w:val="18"/>
        </w:rPr>
        <w:t xml:space="preserve">Date of report (date of earliest event reported): May </w:t>
      </w:r>
      <w:r>
        <w:rPr>
          <w:rFonts w:ascii="Arial" w:hAnsi="Arial"/>
          <w:b/>
          <w:color w:val="000000"/>
          <w:sz w:val="18"/>
        </w:rPr>
        <w:t>7, 2026</w:t>
      </w:r>
    </w:p>
    <w:p>
      <w:pPr>
        <w:pStyle w:val="TextBody"/>
        <w:bidi w:val="0"/>
        <w:spacing w:before="240" w:after="283"/>
        <w:jc w:val="center"/>
        <w:rPr>
          <w:rFonts w:ascii="Arial" w:hAnsi="Arial"/>
          <w:b/>
          <w:color w:val="000000"/>
          <w:sz w:val="32"/>
        </w:rPr>
      </w:pPr>
      <w:r>
        <w:rPr>
          <w:rFonts w:ascii="Arial" w:hAnsi="Arial"/>
          <w:b/>
          <w:color w:val="000000"/>
          <w:sz w:val="32"/>
        </w:rPr>
        <w:t>DRILLING TOOLS INTERNATIONAL CORPORATION</w:t>
      </w:r>
    </w:p>
    <w:p>
      <w:pPr>
        <w:pStyle w:val="TextBody"/>
        <w:bidi w:val="0"/>
        <w:jc w:val="center"/>
        <w:rPr>
          <w:rFonts w:ascii="Arial" w:hAnsi="Arial"/>
          <w:color w:val="000000"/>
          <w:sz w:val="18"/>
        </w:rPr>
      </w:pPr>
      <w:r>
        <w:rPr>
          <w:rFonts w:ascii="Arial" w:hAnsi="Arial"/>
          <w:color w:val="000000"/>
          <w:sz w:val="18"/>
        </w:rPr>
        <w:t>(Exact name of registrant as specified in its charter)</w:t>
      </w:r>
    </w:p>
    <w:p>
      <w:pPr>
        <w:pStyle w:val="TextBody"/>
        <w:bidi w:val="0"/>
        <w:jc w:val="left"/>
        <w:rPr/>
      </w:pPr>
      <w:r>
        <w:rPr/>
        <w:t> </w:t>
      </w:r>
    </w:p>
    <w:tbl>
      <w:tblPr>
        <w:tblW w:w="6258" w:type="dxa"/>
        <w:jc w:val="left"/>
        <w:tblInd w:w="0" w:type="dxa"/>
        <w:tblLayout w:type="fixed"/>
        <w:tblCellMar>
          <w:top w:w="28" w:type="dxa"/>
          <w:left w:w="28" w:type="dxa"/>
          <w:bottom w:w="28" w:type="dxa"/>
          <w:right w:w="28" w:type="dxa"/>
        </w:tblCellMar>
      </w:tblPr>
      <w:tblGrid>
        <w:gridCol w:w="2386"/>
        <w:gridCol w:w="2296"/>
        <w:gridCol w:w="1576"/>
      </w:tblGrid>
      <w:tr>
        <w:trPr/>
        <w:tc>
          <w:tcPr>
            <w:tcW w:w="238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001-41103</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87-2488708</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 xml:space="preserve">(State or other </w:t>
            </w:r>
            <w:r>
              <w:rPr>
                <w:rFonts w:ascii="Arial" w:hAnsi="Arial"/>
                <w:b/>
                <w:color w:val="000000"/>
                <w:sz w:val="18"/>
              </w:rPr>
              <w:br/>
            </w:r>
            <w:r>
              <w:rPr>
                <w:rFonts w:ascii="Arial" w:hAnsi="Arial"/>
                <w:color w:val="000000"/>
                <w:sz w:val="18"/>
              </w:rPr>
              <w:t>jurisdiction 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(Commission File Number)</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 xml:space="preserve">(I.R.S. Employer </w:t>
              <w:br/>
              <w:t>Identification No.)</w:t>
            </w:r>
          </w:p>
        </w:tc>
      </w:tr>
    </w:tbl>
    <w:p>
      <w:pPr>
        <w:pStyle w:val="TextBody"/>
        <w:bidi w:val="0"/>
        <w:jc w:val="left"/>
        <w:rPr/>
      </w:pPr>
      <w:r>
        <w:rPr/>
        <w:t> </w:t>
      </w:r>
    </w:p>
    <w:tbl>
      <w:tblPr>
        <w:tblW w:w="4277" w:type="dxa"/>
        <w:jc w:val="left"/>
        <w:tblInd w:w="0" w:type="dxa"/>
        <w:tblLayout w:type="fixed"/>
        <w:tblCellMar>
          <w:top w:w="28" w:type="dxa"/>
          <w:left w:w="28" w:type="dxa"/>
          <w:bottom w:w="28" w:type="dxa"/>
          <w:right w:w="28" w:type="dxa"/>
        </w:tblCellMar>
      </w:tblPr>
      <w:tblGrid>
        <w:gridCol w:w="3256"/>
        <w:gridCol w:w="1021"/>
      </w:tblGrid>
      <w:tr>
        <w:trPr/>
        <w:tc>
          <w:tcPr>
            <w:tcW w:w="325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10370 Richmond Avenue, Suite 1000</w:t>
            </w:r>
          </w:p>
          <w:p>
            <w:pPr>
              <w:pStyle w:val="TableContents"/>
              <w:bidi w:val="0"/>
              <w:spacing w:before="0" w:after="283"/>
              <w:jc w:val="center"/>
              <w:rPr>
                <w:rFonts w:ascii="Arial" w:hAnsi="Arial"/>
                <w:b/>
                <w:color w:val="000000"/>
                <w:sz w:val="18"/>
              </w:rPr>
            </w:pPr>
            <w:r>
              <w:rPr>
                <w:rFonts w:ascii="Arial" w:hAnsi="Arial"/>
                <w:b/>
                <w:color w:val="000000"/>
                <w:sz w:val="18"/>
              </w:rPr>
              <w:t>Houston, Texas</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77042</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(Address of principal executive offices)</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(Zip Code)</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8"/>
        </w:rPr>
        <w:t xml:space="preserve">Registrant’s telephone number, including area code: </w:t>
      </w:r>
      <w:r>
        <w:rPr>
          <w:rFonts w:ascii="Arial" w:hAnsi="Arial"/>
          <w:b/>
          <w:color w:val="000000"/>
          <w:sz w:val="18"/>
        </w:rPr>
        <w:t>(832)</w:t>
      </w:r>
      <w:r>
        <w:rPr>
          <w:rFonts w:ascii="Times New Roman" w:hAnsi="Times New Roman"/>
          <w:color w:val="000000"/>
          <w:sz w:val="20"/>
        </w:rPr>
        <w:t xml:space="preserve"> </w:t>
      </w:r>
      <w:r>
        <w:rPr>
          <w:rFonts w:ascii="Arial" w:hAnsi="Arial"/>
          <w:b/>
          <w:color w:val="000000"/>
          <w:sz w:val="18"/>
        </w:rPr>
        <w:t>742-8500</w:t>
      </w:r>
    </w:p>
    <w:p>
      <w:pPr>
        <w:pStyle w:val="TextBody"/>
        <w:bidi w:val="0"/>
        <w:spacing w:before="240" w:after="283"/>
        <w:jc w:val="left"/>
        <w:rPr>
          <w:rFonts w:ascii="Arial" w:hAnsi="Arial"/>
          <w:color w:val="000000"/>
          <w:sz w:val="18"/>
        </w:rPr>
      </w:pPr>
      <w:r>
        <w:rPr>
          <w:rFonts w:ascii="Arial" w:hAnsi="Arial"/>
          <w:color w:val="000000"/>
          <w:sz w:val="18"/>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Pre-commencement communications pursuant to Rule 13e-4(c) under the Exchange Act (17 CFR 240.13e-4(c))</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Securities registered pursuant to Section 12(b) of the Act:</w:t>
      </w:r>
    </w:p>
    <w:p>
      <w:pPr>
        <w:pStyle w:val="TextBody"/>
        <w:bidi w:val="0"/>
        <w:jc w:val="left"/>
        <w:rPr/>
      </w:pPr>
      <w:r>
        <w:rPr/>
        <w:t> </w:t>
      </w:r>
    </w:p>
    <w:tbl>
      <w:tblPr>
        <w:tblW w:w="9700" w:type="dxa"/>
        <w:jc w:val="left"/>
        <w:tblInd w:w="0" w:type="dxa"/>
        <w:tblLayout w:type="fixed"/>
        <w:tblCellMar>
          <w:top w:w="28" w:type="dxa"/>
          <w:left w:w="28" w:type="dxa"/>
          <w:bottom w:w="28" w:type="dxa"/>
          <w:right w:w="28" w:type="dxa"/>
        </w:tblCellMar>
      </w:tblPr>
      <w:tblGrid>
        <w:gridCol w:w="3736"/>
        <w:gridCol w:w="146"/>
        <w:gridCol w:w="1666"/>
        <w:gridCol w:w="146"/>
        <w:gridCol w:w="400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Stock Market LLC</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Item 2.02. Results of Operations and Financial Condition</w:t>
      </w:r>
    </w:p>
    <w:p>
      <w:pPr>
        <w:pStyle w:val="TextBody"/>
        <w:bidi w:val="0"/>
        <w:spacing w:before="240" w:after="283"/>
        <w:jc w:val="both"/>
        <w:rPr>
          <w:rFonts w:ascii="Times New Roman" w:hAnsi="Times New Roman"/>
          <w:sz w:val="20"/>
        </w:rPr>
      </w:pPr>
      <w:r>
        <w:rPr>
          <w:rFonts w:ascii="Arial" w:hAnsi="Arial"/>
          <w:color w:val="000000"/>
          <w:sz w:val="18"/>
        </w:rPr>
        <w:t>On May 7, 2026, Drilling Tools International Corporation (the “Company”) issued a press release announcing the Company’s financial and operating results for the first quarter ended March 31, 2026. A copy of the press release is furnished as Exhibit 99.1 hereto and incorporated herein by reference.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8"/>
        </w:rPr>
        <w:t>The information in this report and the exhibits attached hereto shall not be deemed to be “filed” for purposes of the Securities Exchange Act of 1934 (the “Exchange Act”) or otherwise subject to the liabilities of that section, not shall it be deemed incorporated by reference in any filing under the Securities Act of 1933, as amended, or the Exchange Act, regardless of any general incorporation language in such filing.</w:t>
      </w:r>
      <w:r>
        <w:rPr>
          <w:rFonts w:ascii="Times New Roman" w:hAnsi="Times New Roman"/>
          <w:color w:val="000000"/>
          <w:sz w:val="20"/>
        </w:rPr>
        <w:t xml:space="preserve"> </w:t>
      </w:r>
    </w:p>
    <w:p>
      <w:pPr>
        <w:pStyle w:val="TextBody"/>
        <w:bidi w:val="0"/>
        <w:spacing w:before="240" w:after="283"/>
        <w:jc w:val="left"/>
        <w:rPr>
          <w:rFonts w:ascii="Arial" w:hAnsi="Arial"/>
          <w:b/>
          <w:color w:val="000000"/>
          <w:sz w:val="18"/>
        </w:rPr>
      </w:pPr>
      <w:r>
        <w:rPr>
          <w:rFonts w:ascii="Arial" w:hAnsi="Arial"/>
          <w:b/>
          <w:color w:val="000000"/>
          <w:sz w:val="18"/>
        </w:rPr>
        <w:t>Item 9.01. Financial Statements and Exhibits</w:t>
      </w:r>
    </w:p>
    <w:p>
      <w:pPr>
        <w:pStyle w:val="TextBody"/>
        <w:bidi w:val="0"/>
        <w:spacing w:before="240" w:after="283"/>
        <w:jc w:val="left"/>
        <w:rPr>
          <w:rFonts w:ascii="Arial" w:hAnsi="Arial"/>
          <w:color w:val="000000"/>
          <w:sz w:val="18"/>
        </w:rPr>
      </w:pPr>
      <w:r>
        <w:rPr>
          <w:rFonts w:ascii="Arial" w:hAnsi="Arial"/>
          <w:color w:val="000000"/>
          <w:sz w:val="18"/>
        </w:rPr>
        <w:t>(d) Exhibits</w:t>
      </w:r>
    </w:p>
    <w:p>
      <w:pPr>
        <w:pStyle w:val="TextBody"/>
        <w:bidi w:val="0"/>
        <w:jc w:val="left"/>
        <w:rPr/>
      </w:pPr>
      <w:r>
        <w:rPr/>
        <w:t> </w:t>
      </w:r>
    </w:p>
    <w:tbl>
      <w:tblPr>
        <w:tblW w:w="7067" w:type="dxa"/>
        <w:jc w:val="left"/>
        <w:tblInd w:w="0" w:type="dxa"/>
        <w:tblLayout w:type="fixed"/>
        <w:tblCellMar>
          <w:top w:w="28" w:type="dxa"/>
          <w:left w:w="28" w:type="dxa"/>
          <w:bottom w:w="28" w:type="dxa"/>
          <w:right w:w="28" w:type="dxa"/>
        </w:tblCellMar>
      </w:tblPr>
      <w:tblGrid>
        <w:gridCol w:w="481"/>
        <w:gridCol w:w="6586"/>
      </w:tblGrid>
      <w:tr>
        <w:trPr/>
        <w:tc>
          <w:tcPr>
            <w:tcW w:w="481"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99.1</w:t>
            </w:r>
          </w:p>
        </w:tc>
        <w:tc>
          <w:tcPr>
            <w:tcW w:w="6586" w:type="dxa"/>
            <w:tcBorders/>
            <w:tcMar>
              <w:top w:w="0" w:type="dxa"/>
              <w:left w:w="0" w:type="dxa"/>
              <w:bottom w:w="0" w:type="dxa"/>
              <w:right w:w="0" w:type="dxa"/>
            </w:tcMar>
            <w:vAlign w:val="center"/>
          </w:tcPr>
          <w:p>
            <w:pPr>
              <w:pStyle w:val="TableContents"/>
              <w:bidi w:val="0"/>
              <w:spacing w:before="0" w:after="283"/>
              <w:jc w:val="left"/>
              <w:rPr/>
            </w:pPr>
            <w:hyperlink w:anchor="dti-ex99_1.htm">
              <w:r>
                <w:rPr>
                  <w:rStyle w:val="InternetLink"/>
                  <w:rFonts w:ascii="Arial" w:hAnsi="Arial"/>
                  <w:color w:val="0000FF"/>
                  <w:sz w:val="18"/>
                  <w:u w:val="single"/>
                </w:rPr>
                <w:t>Press Release, dated May 7,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6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(embedded within the Inline XBRL document).</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8"/>
        </w:rPr>
      </w:pPr>
      <w:r>
        <w:rPr>
          <w:rFonts w:ascii="Arial" w:hAnsi="Arial"/>
          <w:b/>
          <w:color w:val="000000"/>
          <w:sz w:val="18"/>
        </w:rPr>
        <w:t>SIGNATURE</w:t>
      </w:r>
    </w:p>
    <w:p>
      <w:pPr>
        <w:pStyle w:val="TextBody"/>
        <w:bidi w:val="0"/>
        <w:spacing w:before="240" w:after="283"/>
        <w:ind w:left="0" w:right="0" w:firstLine="720"/>
        <w:jc w:val="left"/>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rFonts w:ascii="Arial" w:hAnsi="Arial"/>
          <w:color w:val="000000"/>
          <w:sz w:val="18"/>
        </w:rPr>
      </w:pPr>
      <w:r>
        <w:rPr>
          <w:rFonts w:ascii="Arial" w:hAnsi="Arial"/>
          <w:color w:val="000000"/>
          <w:sz w:val="18"/>
        </w:rPr>
        <w:t>Dated: May 7, 2026</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404"/>
        <w:gridCol w:w="157"/>
        <w:gridCol w:w="3954"/>
      </w:tblGrid>
      <w:tr>
        <w:trPr/>
        <w:tc>
          <w:tcPr>
            <w:tcW w:w="4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DRILLING TOOLS INTERNATIONAL CORPORATION</w:t>
            </w:r>
          </w:p>
        </w:tc>
      </w:tr>
      <w:tr>
        <w:trPr/>
        <w:tc>
          <w:tcPr>
            <w:tcW w:w="404" w:type="dxa"/>
            <w:tcBorders/>
            <w:tcMar>
              <w:top w:w="0" w:type="dxa"/>
              <w:left w:w="0" w:type="dxa"/>
              <w:bottom w:w="0" w:type="dxa"/>
              <w:right w:w="0" w:type="dxa"/>
            </w:tcMar>
            <w:vAlign w:val="center"/>
          </w:tcPr>
          <w:p>
            <w:pPr>
              <w:pStyle w:val="TableContents"/>
              <w:bidi w:val="0"/>
              <w:spacing w:before="480" w:after="283"/>
              <w:jc w:val="left"/>
              <w:rPr>
                <w:rFonts w:ascii="Arial" w:hAnsi="Arial"/>
                <w:color w:val="000000"/>
                <w:sz w:val="18"/>
              </w:rPr>
            </w:pPr>
            <w:r>
              <w:rPr>
                <w:rFonts w:ascii="Arial" w:hAnsi="Arial"/>
                <w:color w:val="000000"/>
                <w:sz w:val="18"/>
              </w:rPr>
              <w:t>By:</w:t>
            </w:r>
          </w:p>
        </w:tc>
        <w:tc>
          <w:tcPr>
            <w:tcW w:w="157" w:type="dxa"/>
            <w:tcBorders/>
            <w:tcMar>
              <w:top w:w="0" w:type="dxa"/>
              <w:left w:w="0" w:type="dxa"/>
              <w:bottom w:w="0" w:type="dxa"/>
              <w:right w:w="0" w:type="dxa"/>
            </w:tcMar>
            <w:vAlign w:val="center"/>
          </w:tcPr>
          <w:p>
            <w:pPr>
              <w:pStyle w:val="TableContents"/>
              <w:bidi w:val="0"/>
              <w:spacing w:before="480" w:after="283"/>
              <w:jc w:val="left"/>
              <w:rPr/>
            </w:pPr>
            <w:r>
              <w:rPr/>
              <w:t> </w:t>
            </w:r>
          </w:p>
        </w:tc>
        <w:tc>
          <w:tcPr>
            <w:tcW w:w="3954" w:type="dxa"/>
            <w:tcBorders>
              <w:bottom w:val="single" w:sz="4" w:space="0" w:color="000000"/>
            </w:tcBorders>
            <w:tcMar>
              <w:top w:w="0" w:type="dxa"/>
              <w:left w:w="0" w:type="dxa"/>
              <w:right w:w="0" w:type="dxa"/>
            </w:tcMar>
            <w:vAlign w:val="center"/>
          </w:tcPr>
          <w:p>
            <w:pPr>
              <w:pStyle w:val="TableContents"/>
              <w:bidi w:val="0"/>
              <w:spacing w:before="480" w:after="283"/>
              <w:jc w:val="left"/>
              <w:rPr>
                <w:rFonts w:ascii="Arial" w:hAnsi="Arial"/>
                <w:color w:val="000000"/>
                <w:sz w:val="18"/>
              </w:rPr>
            </w:pPr>
            <w:r>
              <w:rPr>
                <w:rFonts w:ascii="Arial" w:hAnsi="Arial"/>
                <w:color w:val="000000"/>
                <w:sz w:val="18"/>
              </w:rPr>
              <w:t>/s/ David R. Johnson</w:t>
            </w:r>
          </w:p>
        </w:tc>
      </w:tr>
      <w:tr>
        <w:trPr/>
        <w:tc>
          <w:tcPr>
            <w:tcW w:w="404"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9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David R. Johnson</w:t>
            </w:r>
          </w:p>
        </w:tc>
      </w:tr>
      <w:tr>
        <w:trPr/>
        <w:tc>
          <w:tcPr>
            <w:tcW w:w="404"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9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w:t>
            </w:r>
          </w:p>
        </w:tc>
      </w:tr>
      <w:tr>
        <w:trPr/>
        <w:tc>
          <w:tcPr>
            <w:tcW w:w="404"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9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(Principal Financial and Accounting Officer)</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dti-ex99_1.htm"/>
      <w:bookmarkStart w:id="3" w:name="ksdtiex99_1"/>
      <w:bookmarkEnd w:id="2"/>
      <w:bookmarkEnd w:id="3"/>
      <w:r>
        <w:rPr>
          <w:rFonts w:ascii="Times New Roman" w:hAnsi="Times New Roman"/>
          <w:b/>
          <w:color w:val="000000"/>
          <w:sz w:val="20"/>
        </w:rPr>
        <w:t>Exhibit 99.1</w:t>
      </w:r>
      <w:r>
        <w:rPr>
          <w:rFonts w:ascii="Times New Roman" w:hAnsi="Times New Roman"/>
          <w:color w:val="000000"/>
          <w:sz w:val="20"/>
        </w:rPr>
        <w:t xml:space="preserve"> </w:t>
      </w:r>
      <w:r>
        <w:br w:type="page"/>
      </w:r>
    </w:p>
    <w:tbl>
      <w:tblPr>
        <w:tblW w:w="4816" w:type="dxa"/>
        <w:jc w:val="left"/>
        <w:tblInd w:w="0" w:type="dxa"/>
        <w:tblLayout w:type="fixed"/>
        <w:tblCellMar>
          <w:top w:w="28" w:type="dxa"/>
          <w:left w:w="28" w:type="dxa"/>
          <w:bottom w:w="28" w:type="dxa"/>
          <w:right w:w="28" w:type="dxa"/>
        </w:tblCellMar>
      </w:tblPr>
      <w:tblGrid>
        <w:gridCol w:w="3011"/>
        <w:gridCol w:w="109"/>
        <w:gridCol w:w="1696"/>
      </w:tblGrid>
      <w:tr>
        <w:trPr/>
        <w:tc>
          <w:tcPr>
            <w:tcW w:w="3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01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4785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285750"/>
                          </a:xfrm>
                          <a:prstGeom prst="rect">
                            <a:avLst/>
                          </a:prstGeom>
                        </pic:spPr>
                      </pic:pic>
                    </a:graphicData>
                  </a:graphic>
                </wp:inline>
              </w:drawing>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i/>
                <w:color w:val="000000"/>
                <w:sz w:val="20"/>
              </w:rPr>
              <w:t>N</w:t>
            </w:r>
            <w:r>
              <w:rPr>
                <w:rFonts w:ascii="Times New Roman" w:hAnsi="Times New Roman"/>
                <w:b/>
                <w:i/>
                <w:color w:val="000000"/>
                <w:sz w:val="15"/>
              </w:rPr>
              <w:t>EWS</w:t>
            </w:r>
            <w:r>
              <w:rPr>
                <w:rFonts w:ascii="Times New Roman" w:hAnsi="Times New Roman"/>
                <w:color w:val="000000"/>
                <w:sz w:val="20"/>
              </w:rPr>
              <w:t> </w:t>
            </w:r>
            <w:r>
              <w:rPr>
                <w:rFonts w:ascii="Times New Roman" w:hAnsi="Times New Roman"/>
                <w:b/>
                <w:i/>
                <w:color w:val="000000"/>
                <w:sz w:val="20"/>
              </w:rPr>
              <w:t>R</w:t>
            </w:r>
            <w:r>
              <w:rPr>
                <w:rFonts w:ascii="Times New Roman" w:hAnsi="Times New Roman"/>
                <w:b/>
                <w:i/>
                <w:color w:val="000000"/>
                <w:sz w:val="15"/>
              </w:rPr>
              <w:t>ELEASE  </w:t>
            </w:r>
          </w:p>
        </w:tc>
      </w:tr>
    </w:tbl>
    <w:p>
      <w:pPr>
        <w:pStyle w:val="TextBody"/>
        <w:bidi w:val="0"/>
        <w:spacing w:before="240" w:after="283"/>
        <w:jc w:val="center"/>
        <w:rPr>
          <w:rFonts w:ascii="Times New Roman" w:hAnsi="Times New Roman"/>
          <w:sz w:val="20"/>
        </w:rPr>
      </w:pPr>
      <w:r>
        <w:rPr>
          <w:rFonts w:ascii="Times New Roman" w:hAnsi="Times New Roman"/>
          <w:b/>
          <w:color w:val="000000"/>
          <w:sz w:val="32"/>
        </w:rPr>
        <w:t>Drilling Tools International Corp. Reports</w:t>
      </w:r>
      <w:r>
        <w:rPr>
          <w:rFonts w:ascii="Times New Roman" w:hAnsi="Times New Roman"/>
          <w:color w:val="000000"/>
          <w:sz w:val="20"/>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2026 First Quarter Results</w:t>
      </w:r>
    </w:p>
    <w:p>
      <w:pPr>
        <w:pStyle w:val="TextBody"/>
        <w:bidi w:val="0"/>
        <w:jc w:val="center"/>
        <w:rPr>
          <w:rFonts w:ascii="Times New Roman" w:hAnsi="Times New Roman"/>
          <w:b/>
          <w:i/>
          <w:color w:val="000000"/>
          <w:sz w:val="28"/>
        </w:rPr>
      </w:pPr>
      <w:r>
        <w:rPr>
          <w:rFonts w:ascii="Times New Roman" w:hAnsi="Times New Roman"/>
          <w:b/>
          <w:i/>
          <w:color w:val="000000"/>
          <w:sz w:val="28"/>
        </w:rPr>
        <w:t>Completes Transition to Fully Independent, Broadly Held Public Company with Refreshed Board</w:t>
      </w:r>
    </w:p>
    <w:p>
      <w:pPr>
        <w:pStyle w:val="TextBody"/>
        <w:bidi w:val="0"/>
        <w:jc w:val="center"/>
        <w:rPr/>
      </w:pPr>
      <w:r>
        <w:rPr/>
        <w:t> </w:t>
      </w:r>
    </w:p>
    <w:p>
      <w:pPr>
        <w:pStyle w:val="TextBody"/>
        <w:bidi w:val="0"/>
        <w:jc w:val="center"/>
        <w:rPr>
          <w:rFonts w:ascii="Times New Roman" w:hAnsi="Times New Roman"/>
          <w:b/>
          <w:i/>
          <w:color w:val="000000"/>
          <w:sz w:val="28"/>
        </w:rPr>
      </w:pPr>
      <w:r>
        <w:rPr>
          <w:rFonts w:ascii="Times New Roman" w:hAnsi="Times New Roman"/>
          <w:b/>
          <w:i/>
          <w:color w:val="000000"/>
          <w:sz w:val="28"/>
        </w:rPr>
        <w:t>Reaffirms 2026 Outlook</w:t>
      </w:r>
    </w:p>
    <w:p>
      <w:pPr>
        <w:pStyle w:val="TextBody"/>
        <w:bidi w:val="0"/>
        <w:jc w:val="both"/>
        <w:rPr>
          <w:rFonts w:ascii="Times New Roman" w:hAnsi="Times New Roman"/>
          <w:color w:val="000000"/>
          <w:sz w:val="20"/>
        </w:rPr>
      </w:pPr>
      <w:r>
        <w:rPr>
          <w:rFonts w:ascii="Times New Roman" w:hAnsi="Times New Roman"/>
          <w:color w:val="000000"/>
          <w:sz w:val="20"/>
        </w:rPr>
        <w:t>HOUSTON — May 7, 2026 — Drilling Tools International Corp. (NASDAQ: DTI) (“DTI” or the “Company”), a global oilfield services company that designs, engineers, manufactures and provides a differentiated, rental-focused offering of tools for use in onshore and offshore horizontal and directional drilling operations, as well as other cutting-edge solutions across the well life cycle, today reported its results for the three months ended March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first quarter of 2026, DTI generated total consolidated revenue of $38.0 million. First quarter Tool Rental revenue was $28.9 million, and Product Sales revenue totaled approximately $9.0 million. Net Loss attributable to common stockholders for the first quarter was $1.5 million, or a loss of $0.04 per share. Adjusted Net Loss(1) was $1.0 million and Adjusted Diluted EPS(1) for the first quarter was a loss of $0.03 per diluted share. First quarter Adjusted EBITDA(1) was $7.5 million and Adjusted Free Cash Flow(1)(2) was a loss of $160,000. As of March 31, 2026, DTI had $2.8 million of cash and cash equivalents, and net debt of $48.9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Wayne Prejean, Chairman of the Board and Chief Executive Officer, stated, “Our first quarter results came in largely in-line with our expectations minus some softness in Canada due to the spring breakup arriving earlier this year. While we continue to operate in a complicated market environment, including uncertainty in the Middle East and volatile commodity prices, we are leveraging our differentiated, specialized product suite to capture international market share and preserve our leading position in downhole drilling tools worldwide. I’m also pleased that, despite a 4% year-over-year decline in global rig count, we remain confident in our ability to achieve and reaffirm our full year guidance, which constitutes growth at the midpoint when compared to our 2025 results. Our ClearPath and Drill-N-Ream product lines are gaining significant traction with international offshore operators as well as customers managing complex well configurations, enhancing our mix toward higher-margin, technology-enabled solutions to deliver improved returns for DTI.</w:t>
      </w:r>
    </w:p>
    <w:p>
      <w:pPr>
        <w:pStyle w:val="TextBody"/>
        <w:bidi w:val="0"/>
        <w:spacing w:before="240" w:after="283"/>
        <w:jc w:val="both"/>
        <w:rPr/>
      </w:pPr>
      <w:r>
        <w:rPr>
          <w:color w:val="000000"/>
        </w:rPr>
        <w:t>“</w:t>
      </w:r>
      <w:r>
        <w:rPr>
          <w:rFonts w:ascii="Times New Roman" w:hAnsi="Times New Roman"/>
          <w:color w:val="000000"/>
          <w:sz w:val="20"/>
        </w:rPr>
        <w:t xml:space="preserve">During the first quarter, we reached another important milestone. Our primary private equity sponsor, HHEP, completed the distribution of its remaining DTI shares to its limited partners. This materially increases our public float and trading liquidity. This distribution, together with the recent refreshment to the composition of our Board of Directors, marks a significant transition for DTI into a fully independent public company with broader ownership and a governance framework tailored to our next phase of growth. </w:t>
      </w:r>
    </w:p>
    <w:p>
      <w:pPr>
        <w:pStyle w:val="TextBody"/>
        <w:bidi w:val="0"/>
        <w:spacing w:before="240" w:after="283"/>
        <w:jc w:val="both"/>
        <w:rPr>
          <w:color w:val="000000"/>
        </w:rPr>
      </w:pPr>
      <w:r>
        <w:rPr>
          <w:color w:val="000000"/>
        </w:rPr>
        <w:t>“</w:t>
      </w:r>
      <w:r>
        <w:rPr>
          <w:rFonts w:ascii="Times New Roman" w:hAnsi="Times New Roman"/>
          <w:color w:val="000000"/>
          <w:sz w:val="20"/>
        </w:rPr>
        <w:t>Looking ahead, we continue to expect activity in the first half of 2026 to remain relatively flat, but we see tangible catalysts emerging that should drive improvement later in the year. To capitalize on these opportunities, we plan to make targeted investments in select international markets to capture incremental demand and deploy our specialized technologies more efficiently into regions with complex well requirements. Near term, we expect our second quarter results to benefit from the earlier-than-expected spring break up in Canada, which should translate into an earlier post-breakup rebound. We are excited about the opportunities in front of us, both organic and inorganic, and I look forward to sharing updates on our growth plans in the coming quarters as we build on this solid foundation,” concluded Prejean.</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2026 Full Year Outlook</w:t>
      </w:r>
      <w:r>
        <w:rPr>
          <w:rFonts w:ascii="Times New Roman" w:hAnsi="Times New Roman"/>
          <w:color w:val="000000"/>
          <w:sz w:val="20"/>
        </w:rPr>
        <w:t xml:space="preserve"> </w:t>
      </w:r>
    </w:p>
    <w:p>
      <w:pPr>
        <w:pStyle w:val="TextBody"/>
        <w:bidi w:val="0"/>
        <w:spacing w:before="240" w:after="283"/>
        <w:jc w:val="left"/>
        <w:rPr/>
      </w:pPr>
      <w:r>
        <w:rPr/>
        <w:t> </w:t>
      </w:r>
    </w:p>
    <w:tbl>
      <w:tblPr>
        <w:tblW w:w="5632" w:type="dxa"/>
        <w:jc w:val="left"/>
        <w:tblInd w:w="0" w:type="dxa"/>
        <w:tblLayout w:type="fixed"/>
        <w:tblCellMar>
          <w:top w:w="28" w:type="dxa"/>
          <w:left w:w="28" w:type="dxa"/>
          <w:bottom w:w="28" w:type="dxa"/>
          <w:right w:w="28" w:type="dxa"/>
        </w:tblCellMar>
      </w:tblPr>
      <w:tblGrid>
        <w:gridCol w:w="2551"/>
        <w:gridCol w:w="146"/>
        <w:gridCol w:w="1186"/>
        <w:gridCol w:w="146"/>
        <w:gridCol w:w="226"/>
        <w:gridCol w:w="146"/>
        <w:gridCol w:w="123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$170 million</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 million</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EBITDA Margin</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Free Cash Flow</w:t>
            </w:r>
            <w:r>
              <w:rPr>
                <w:rFonts w:ascii="Times New Roman" w:hAnsi="Times New Roman"/>
                <w:b/>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 million</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0" w:after="0"/>
        <w:ind w:left="950" w:right="720" w:hanging="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Adjusted Net Income (Loss), Adjusted Diluted EPS, Adjusted EBITDA, Adjusted EBITDA Margin, Net Debt, and Adjusted Free Cash Flow are non-GAAP financial measures. See “Non-GAAP Financial Measures” at the end of this release for a discussion of reconciliations to the most directly comparable financial measures calculated and presented in accordance with U.S. generally accepted accounting principles (“GAAP”). </w:t>
      </w:r>
    </w:p>
    <w:p>
      <w:pPr>
        <w:pStyle w:val="TextBody"/>
        <w:bidi w:val="0"/>
        <w:spacing w:before="60" w:after="283"/>
        <w:ind w:left="950" w:right="720" w:hanging="0"/>
        <w:jc w:val="left"/>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Adjusted Free Cash Flow is defined as Adjusted EBITDA less Gross Capital Expenditures.</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2026 First Quarter Conference Call Information</w:t>
      </w:r>
    </w:p>
    <w:p>
      <w:pPr>
        <w:pStyle w:val="TextBody"/>
        <w:bidi w:val="0"/>
        <w:jc w:val="both"/>
        <w:rPr>
          <w:rFonts w:ascii="Times New Roman" w:hAnsi="Times New Roman"/>
          <w:color w:val="000000"/>
          <w:sz w:val="20"/>
        </w:rPr>
      </w:pPr>
      <w:r>
        <w:rPr>
          <w:rFonts w:ascii="Times New Roman" w:hAnsi="Times New Roman"/>
          <w:color w:val="000000"/>
          <w:sz w:val="20"/>
        </w:rPr>
        <w:t>DTI's 2026 first quarter conference call can be accessed live via dial-in or webcast on Friday, May 8, 2026 at 10:00 a.m. Eastern Time (9:00 a.m. Central Time) by dialing 201-389-0869 and asking for the DTI call at least 10 minutes prior to the start time, or via live webcast by logging onto the webcast at this URL address: https://investors.drillingtools.com/news-events/events. An audio replay will be available through May 15, 2026 by dialing 201-612-7415 and using passcode 13759566#. Also, an archive of the webcast will be available shortly after the call at https://investors.drillingtools.com/news-events/events for 90 days. Please submit any questions for management prior to the call via email to DTI@dennardlascar.com.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About Drilling Tools International Corp.</w:t>
      </w:r>
      <w:r>
        <w:rPr>
          <w:rFonts w:ascii="Times New Roman" w:hAnsi="Times New Roman"/>
          <w:color w:val="000000"/>
          <w:sz w:val="20"/>
        </w:rPr>
        <w:t xml:space="preserve">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DTI is a Houston, Texas based leading oilfield services company that manufactures and rents downhole drilling tools used in horizontal and directional drilling of oil and natural gas wells. With roots dating back to 1984, DTI operates from 15 service and support centers across North America and maintains 11 international service and support centers across the EMEA and APAC regions. To learn more about DTI, please visit: www.drillingtools.com. </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Contact: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DTI Investor Relations </w:t>
      </w:r>
    </w:p>
    <w:p>
      <w:pPr>
        <w:pStyle w:val="TextBody"/>
        <w:bidi w:val="0"/>
        <w:jc w:val="left"/>
        <w:rPr>
          <w:rFonts w:ascii="Times New Roman" w:hAnsi="Times New Roman"/>
          <w:color w:val="000000"/>
          <w:sz w:val="20"/>
        </w:rPr>
      </w:pPr>
      <w:r>
        <w:rPr>
          <w:rFonts w:ascii="Times New Roman" w:hAnsi="Times New Roman"/>
          <w:color w:val="000000"/>
          <w:sz w:val="20"/>
        </w:rPr>
        <w:t>Ken Dennard / Natalie Hairston</w:t>
      </w:r>
    </w:p>
    <w:p>
      <w:pPr>
        <w:pStyle w:val="TextBody"/>
        <w:bidi w:val="0"/>
        <w:jc w:val="left"/>
        <w:rPr>
          <w:rFonts w:ascii="Times New Roman" w:hAnsi="Times New Roman"/>
          <w:sz w:val="20"/>
        </w:rPr>
      </w:pPr>
      <w:r>
        <w:rPr>
          <w:rFonts w:ascii="Times New Roman" w:hAnsi="Times New Roman"/>
          <w:color w:val="0000FF"/>
          <w:sz w:val="20"/>
          <w:u w:val="single"/>
        </w:rPr>
        <w:t>InvestorRelations@drillingtools.com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Forward-Looking Statements</w:t>
      </w:r>
      <w:r>
        <w:rPr>
          <w:rFonts w:ascii="Times New Roman" w:hAnsi="Times New Roman"/>
          <w:color w:val="000000"/>
          <w:sz w:val="20"/>
        </w:rPr>
        <w:t xml:space="preserve"> </w:t>
      </w:r>
    </w:p>
    <w:p>
      <w:pPr>
        <w:pStyle w:val="TextBody"/>
        <w:bidi w:val="0"/>
        <w:spacing w:before="3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may include, and oral statements made from time to time by representatives of the Company may include, “forward-looking statements” within the meaning of Section 27A of the Securities Act of 1933, as amended, and Section 21E of the Securities Exchange Act of 1934, as amended. Statements other than statements of historical fact included in this press release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 looking. These forward-looking statements include, but are not limited to, statements regarding DTI and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Forward-looking statements in this press release may include, for example, statements about: (1) the demand for DTI’s products and services, which is influenced by the general level activity in the oil and gas industry; (2) DTI’s ability to retain its customers, particularly those that contribute to a large portion of its revenue; (3) DTI’s ability to employ and retain a sufficient number of skilled and qualified workers, including its key personnel; (4) DTI’s ability to source tools and raw materials at a reasonable cost; (5) DTI’s ability to market its services in a competitive industry; (6) DTI’s ability to execute, integrate and realize the benefits of acquisitions, and manage the resulting growth of its business; (7) potential liability for claims arising from damage or harm caused by the operation of DTI’s tools, or otherwise arising from the dangerous activities that are inherent in the oil and gas industry; (8) DTI’s ability to obtain additional capital; (9) potential political, regulatory, economic and social disruptions in the countries in which DTI conducts business, including changes in tax laws or tax rates; (10) DTI’s dependence on its information technology systems, in particular Customer Order Management Portal and Support System, for the efficient operation of DTI’s business; (11) DTI’s ability to comply with applicable laws, regulations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rules, including those related to the environment, greenhouse gases and climate change; (12) DTI’s ability to maintain an effective system of disclosure controls and internal control over financial reporting; (13) the potential for volatility in the market price of DTI’s common stock; (14) the impact of increased legal, accounting, administrative and other costs incurred as a public company, including the impact of possible shareholder litigation; (15) the potential for issuance of additional shares of DTI’s common stock or other equity securities; (16) DTI’s ability to maintain the listing of its common stock on Nasdaq; and (17) other risks and uncertainties separately provided to you and indicated from time to time described in DTI’s most recent Forms 10-K, 10-Q and 8-K filed with or furnished to the Securities and Exchange Commission (the “SEC”). You should carefully consider the risks and uncertainties including those described in Part I, Item 1A – “Risk Factors” of our Annual Report on Form 10-K filed on March 6, 2026 and in comparable “Risk Factor” sections of our Quarterly Reports on Form 10-Q filed after such Form 10-K. Such forward-looking statements are based on the beliefs of management of DTI, as well as assumptions made by, and information currently available to DTI’s management and are subject to numerous conditions, many of which are beyond the control of DTI. Actual results could differ materially from those contemplated by the forward-looking statements as a result of certain factors detailed in DTI’s most recent Forms 10-K, 10-Q and 8-K filed with or furnished to the SEC. All subsequent written or oral forward-looking statements attributable to the Company or persons acting on its behalf are qualified in their entirety by this paragraph. The Company undertakes no obligation to update these statements for revisions or changes after the date of this release, except as required by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42"/>
        <w:gridCol w:w="146"/>
        <w:gridCol w:w="211"/>
        <w:gridCol w:w="1036"/>
        <w:gridCol w:w="166"/>
        <w:gridCol w:w="146"/>
        <w:gridCol w:w="211"/>
        <w:gridCol w:w="1036"/>
        <w:gridCol w:w="2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Statements of Comprehensive Income (Loss) (Unaudited)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 rental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other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tool rental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other 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Drilling Tools International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35,116,094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35,592,737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35,116,094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35,592,737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 attributable to Drilling Tools International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270"/>
        <w:gridCol w:w="146"/>
        <w:gridCol w:w="211"/>
        <w:gridCol w:w="781"/>
        <w:gridCol w:w="166"/>
        <w:gridCol w:w="146"/>
        <w:gridCol w:w="228"/>
        <w:gridCol w:w="844"/>
        <w:gridCol w:w="413"/>
      </w:tblGrid>
      <w:tr>
        <w:trPr/>
        <w:tc>
          <w:tcPr>
            <w:tcW w:w="7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79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Balance Sheets (Unaudited)</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2"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 note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Related party note receivable,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222,181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shares authorized 500,000,000 as of March 31, 2026 and December 31, 2025, 35,901,108 issued and outstanding as of March 31, 2026 and 35,661,297 shares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Treasury stock at cost, 775,368 and 505,169 shares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Drilling Tools International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122,873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222,181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378"/>
        <w:gridCol w:w="146"/>
        <w:gridCol w:w="312"/>
        <w:gridCol w:w="1091"/>
        <w:gridCol w:w="245"/>
        <w:gridCol w:w="216"/>
        <w:gridCol w:w="312"/>
        <w:gridCol w:w="1091"/>
        <w:gridCol w:w="414"/>
      </w:tblGrid>
      <w:tr>
        <w:trPr/>
        <w:tc>
          <w:tcPr>
            <w:tcW w:w="6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7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Statements of Cash Flows (Unaudited)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Write off of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Write off of excess and obsolete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(recovery)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sale of lost-in-hole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on related party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a business,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lost-in-hole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revolving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on 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(12,270</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 of changes in foreign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Times New Roman" w:hAnsi="Times New Roman"/>
          <w:b/>
          <w:color w:val="000000"/>
          <w:sz w:val="22"/>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release includes Adjusted EBITDA, Adjusted Free Cash Flow, Net Debt, Adjusted Basic Earnings (Loss) Per Share, Adjusted Diluted Earnings (Loss) Per Share and Adjusted Net Income (Loss) measures. Each of the metrics are “non-GAAP financial measures” as defined in Regulation G of the Securities Exchange Act of 1934.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Adjusted EBITDA and Adjusted EBITDA Margin are useful because it allows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Free Cash Flow is a supplemental non-GAAP financial measure, and we define Adjusted Free Cash Flow as Adjusted EBITDA less Gross Capital Expenditures. We use Adjusted Free Cash Flow as a financial performance measure used for planning, forecasting, and evaluating our performance. We believe that Adjusted Free Cash Flow is useful to enable investors and others to perform comparisons of current and historical performance of the Company. As a performance measure, rather than a liquidity measure, the most closely comparable GAAP measure is net income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Debt is a supplemental non-GAAP financial measure, and we define Net Debt as total debt less cash and cash equivalents. We use Net Debt to determine our outstanding debt obligations that would not be readily satisfied by our cash and cash equivalents on hand. We believe this metric is useful to analysts and investors in determining our leverage position since we have the ability to, and may decide to, use a portion of our cash and cash equivalents to reduce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Adjusted Net Income (Loss) as consolidated net income (loss) adjusted for (i) goodwill and/or long-lived asset impairment charges, (ii) restructuring charges, (iii) transaction and integration costs related to acquisitions, (iv) income tax expense which is calculated by applying a 25% effective tax rate to adjusted pre-tax income, and (v) other expenses or charges to exclude certain items that we believe are not reflective of the ongoing performance of our business. We believe Adjusted Net Income (Loss) is useful because it allows us to exclude non-recurring items in evaluating our operating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Adjusted Basic Earnings (Loss) and Adjusted Diluted Earnings (Loss) per share as the quotient of adjusted net income (loss) and diluted weighted average common shares. We believe that Adjusted Diluted Earnings (Loss) per share provides useful information to investors because it allows us to exclude non-recurring items in evaluating our operating performance on a diluted per share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release also includes certain projections of non-GAAP financial measures. Reconciliation of these items to net income include gains or losses on sale or consolidation transactions, accelerated depreciation, impairment charges, gains or losses on retirement of debt, variations in effective tax rate and fluctuations in net working capital, which are difficult to predict and estimate and are primarily dependent on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a reconciliation of the non-GAAP financial measures of Adjusted EBITDA, Adjusted Free Cash Flow and Adjusted Net Income to the most directly comparable GAAP financial measures for the periods indicated: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7477" w:type="dxa"/>
        <w:jc w:val="left"/>
        <w:tblInd w:w="0" w:type="dxa"/>
        <w:tblLayout w:type="fixed"/>
        <w:tblCellMar>
          <w:top w:w="28" w:type="dxa"/>
          <w:left w:w="28" w:type="dxa"/>
          <w:bottom w:w="28" w:type="dxa"/>
          <w:right w:w="28" w:type="dxa"/>
        </w:tblCellMar>
      </w:tblPr>
      <w:tblGrid>
        <w:gridCol w:w="4191"/>
        <w:gridCol w:w="146"/>
        <w:gridCol w:w="282"/>
        <w:gridCol w:w="844"/>
        <w:gridCol w:w="222"/>
        <w:gridCol w:w="195"/>
        <w:gridCol w:w="282"/>
        <w:gridCol w:w="904"/>
        <w:gridCol w:w="41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6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to Non-GAAP Measures (Unaudited)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6"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7476" w:type="dxa"/>
        <w:jc w:val="left"/>
        <w:tblInd w:w="0" w:type="dxa"/>
        <w:tblLayout w:type="fixed"/>
        <w:tblCellMar>
          <w:top w:w="28" w:type="dxa"/>
          <w:left w:w="28" w:type="dxa"/>
          <w:bottom w:w="28" w:type="dxa"/>
          <w:right w:w="28" w:type="dxa"/>
        </w:tblCellMar>
      </w:tblPr>
      <w:tblGrid>
        <w:gridCol w:w="4191"/>
        <w:gridCol w:w="146"/>
        <w:gridCol w:w="288"/>
        <w:gridCol w:w="863"/>
        <w:gridCol w:w="227"/>
        <w:gridCol w:w="199"/>
        <w:gridCol w:w="288"/>
        <w:gridCol w:w="863"/>
        <w:gridCol w:w="41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6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to Non-GAAP Measures (Unaudited)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tbl>
      <w:tblPr>
        <w:tblW w:w="7874" w:type="dxa"/>
        <w:jc w:val="left"/>
        <w:tblInd w:w="0" w:type="dxa"/>
        <w:tblLayout w:type="fixed"/>
        <w:tblCellMar>
          <w:top w:w="28" w:type="dxa"/>
          <w:left w:w="28" w:type="dxa"/>
          <w:bottom w:w="28" w:type="dxa"/>
          <w:right w:w="28" w:type="dxa"/>
        </w:tblCellMar>
      </w:tblPr>
      <w:tblGrid>
        <w:gridCol w:w="4531"/>
        <w:gridCol w:w="146"/>
        <w:gridCol w:w="211"/>
        <w:gridCol w:w="1036"/>
        <w:gridCol w:w="166"/>
        <w:gridCol w:w="146"/>
        <w:gridCol w:w="211"/>
        <w:gridCol w:w="1036"/>
        <w:gridCol w:w="3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4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to Non-GAAP Measures (Unaudited)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83" w:type="dxa"/>
            <w:gridSpan w:val="8"/>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implementation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Basic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35,116,094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35,592,737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35,116,094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35,778,541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7448" w:type="dxa"/>
        <w:jc w:val="left"/>
        <w:tblInd w:w="0" w:type="dxa"/>
        <w:tblLayout w:type="fixed"/>
        <w:tblCellMar>
          <w:top w:w="28" w:type="dxa"/>
          <w:left w:w="28" w:type="dxa"/>
          <w:bottom w:w="28" w:type="dxa"/>
          <w:right w:w="28" w:type="dxa"/>
        </w:tblCellMar>
      </w:tblPr>
      <w:tblGrid>
        <w:gridCol w:w="3492"/>
        <w:gridCol w:w="432"/>
        <w:gridCol w:w="271"/>
        <w:gridCol w:w="1008"/>
        <w:gridCol w:w="387"/>
        <w:gridCol w:w="188"/>
        <w:gridCol w:w="271"/>
        <w:gridCol w:w="1008"/>
        <w:gridCol w:w="391"/>
      </w:tblGrid>
      <w:tr>
        <w:trPr/>
        <w:tc>
          <w:tcPr>
            <w:tcW w:w="3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5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Estimated Consolidated Net Income (Loss) to Adjusted EBITDA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(deduct):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fees</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expense</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expense</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35,000</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7918" w:type="dxa"/>
        <w:jc w:val="left"/>
        <w:tblInd w:w="0" w:type="dxa"/>
        <w:tblLayout w:type="fixed"/>
        <w:tblCellMar>
          <w:top w:w="28" w:type="dxa"/>
          <w:left w:w="28" w:type="dxa"/>
          <w:bottom w:w="28" w:type="dxa"/>
          <w:right w:w="28" w:type="dxa"/>
        </w:tblCellMar>
      </w:tblPr>
      <w:tblGrid>
        <w:gridCol w:w="3916"/>
        <w:gridCol w:w="465"/>
        <w:gridCol w:w="283"/>
        <w:gridCol w:w="990"/>
        <w:gridCol w:w="404"/>
        <w:gridCol w:w="196"/>
        <w:gridCol w:w="283"/>
        <w:gridCol w:w="990"/>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2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Drilling Tools International Corp.</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2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Estimated Consolidated Net Income (Loss) to Adjusted Free Cash Flow</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2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of U.S. dollars and rounded)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2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(Unaudited)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(deduct):</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fees</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expense</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expense</w:t>
            </w:r>
          </w:p>
        </w:tc>
        <w:tc>
          <w:tcPr>
            <w:tcW w:w="4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capital expenditures</w:t>
            </w:r>
          </w:p>
        </w:tc>
        <w:tc>
          <w:tcPr>
            <w:tcW w:w="4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Free Cash Flow</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17,000</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Free Cash Flow Margin</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4196</Words>
  <Characters>23478</Characters>
  <CharactersWithSpaces>28059</CharactersWithSpaces>
  <Paragraphs>1948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