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FURST JACK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10370 RICHMOND AVENUE, SUITE 1000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Drilling Tools International Corp</w:t>
              </w:r>
            </w:hyperlink>
            <w:r>
              <w:rPr/>
              <w:t xml:space="preserve"> [ </w:t>
            </w:r>
            <w:r>
              <w:rPr>
                <w:rFonts w:ascii="Times;serif" w:hAnsi="Times;serif"/>
                <w:color w:val="0000FF"/>
                <w:sz w:val="24"/>
                <w:shd w:fill="FFFFFF" w:val="clear"/>
              </w:rPr>
              <w:t>DTI</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05/13/2026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927"/>
        <w:gridCol w:w="452"/>
        <w:gridCol w:w="667"/>
        <w:gridCol w:w="1158"/>
        <w:gridCol w:w="993"/>
        <w:gridCol w:w="10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28,626</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60,948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118,252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Oak Stream Investors II, Ltd.</w:t>
            </w:r>
            <w:r>
              <w:rPr>
                <w:rFonts w:ascii="Times;serif" w:hAnsi="Times;serif"/>
                <w:color w:val="008000"/>
                <w:position w:val="7"/>
                <w:sz w:val="16"/>
                <w:sz w:val="20"/>
                <w:shd w:fill="FFFFFF" w:val="clear"/>
              </w:rPr>
              <w:t>(1)</w:t>
            </w:r>
            <w:r>
              <w:rPr/>
              <w:t xml:space="preserve"> </w:t>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458,737</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JDF Long Term Trust</w:t>
            </w:r>
            <w:r>
              <w:rPr>
                <w:rFonts w:ascii="Times;serif" w:hAnsi="Times;serif"/>
                <w:color w:val="008000"/>
                <w:position w:val="7"/>
                <w:sz w:val="16"/>
                <w:sz w:val="20"/>
                <w:shd w:fill="FFFFFF" w:val="clear"/>
              </w:rPr>
              <w:t>(2)</w:t>
            </w:r>
            <w:r>
              <w:rPr/>
              <w:t xml:space="preserve"> </w:t>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28,626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28,626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23,438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57,059</w:t>
            </w:r>
            <w:r>
              <w:rPr>
                <w:rFonts w:ascii="Times;serif" w:hAnsi="Times;serif"/>
                <w:color w:val="008000"/>
                <w:position w:val="7"/>
                <w:sz w:val="16"/>
                <w:sz w:val="20"/>
                <w:shd w:fill="FFFFFF" w:val="clear"/>
              </w:rPr>
              <w:t>(6)</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disclaims any beneficial ownership of any shares of common stock held by Oak Stream Investors II, Ltd., other than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the trustee of JDF Long Term Trust ("JDF"). The Reporting Person may be deemed to have voting power and dispositive power over the shares held by JDF.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restricted stock units vested 100% on May 13, 2026, the one-year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restricted stock units vest 100% on April 28, 2027, the one-year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All shares of common stock subject to stock options held by the Reporting Person are vested. The stock options were received in exchange for stock options to purchase 250,000 shares of common stock of Drilling Tools International Holdings, Inc. ("Legacy DTI") for $0.85 per share in connection with the Issuer's business combination with Legacy DTI.</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Niedzwiecki,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05/13/2026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62103" TargetMode="External"/><Relationship Id="rId5" Type="http://schemas.openxmlformats.org/officeDocument/2006/relationships/hyperlink" Target="http://www.sec.gov/cgi-bin/browse-edgar?action=getcompany&amp;CIK=00018845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787</Words>
  <Characters>4163</Characters>
  <CharactersWithSpaces>4860</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