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dti-20260806.htm"/>
      <w:bookmarkStart w:id="1" w:name="ksdti20260806"/>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CURRENT REPORT</w:t>
      </w:r>
    </w:p>
    <w:p>
      <w:pPr>
        <w:pStyle w:val="TextBody"/>
        <w:bidi w:val="0"/>
        <w:jc w:val="center"/>
        <w:rPr>
          <w:rFonts w:ascii="Times New Roman" w:hAnsi="Times New Roman"/>
          <w:b/>
          <w:color w:val="000000"/>
          <w:sz w:val="18"/>
        </w:rPr>
      </w:pPr>
      <w:r>
        <w:rPr>
          <w:rFonts w:ascii="Times New Roman" w:hAnsi="Times New Roman"/>
          <w:b/>
          <w:color w:val="000000"/>
          <w:sz w:val="18"/>
        </w:rPr>
        <w:t>Pursuant to Section 13 or 15(d) of the</w:t>
      </w:r>
    </w:p>
    <w:p>
      <w:pPr>
        <w:pStyle w:val="TextBody"/>
        <w:bidi w:val="0"/>
        <w:jc w:val="center"/>
        <w:rPr>
          <w:rFonts w:ascii="Times New Roman" w:hAnsi="Times New Roman"/>
          <w:b/>
          <w:color w:val="000000"/>
          <w:sz w:val="18"/>
        </w:rPr>
      </w:pPr>
      <w:r>
        <w:rPr>
          <w:rFonts w:ascii="Times New Roman" w:hAnsi="Times New Roman"/>
          <w:b/>
          <w:color w:val="000000"/>
          <w:sz w:val="18"/>
        </w:rPr>
        <w:t>Securities Exchange Act of 1934</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Date of report (date of earliest event reported): August </w:t>
      </w:r>
      <w:r>
        <w:rPr>
          <w:rFonts w:ascii="Times New Roman" w:hAnsi="Times New Roman"/>
          <w:b/>
          <w:color w:val="000000"/>
          <w:sz w:val="18"/>
        </w:rPr>
        <w:t>6, 2026</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DRILLING TOOLS INTERNATIONAL CORPORATION</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left"/>
        <w:rPr/>
      </w:pPr>
      <w:r>
        <w:rPr/>
        <w:t> </w:t>
      </w:r>
    </w:p>
    <w:tbl>
      <w:tblPr>
        <w:tblW w:w="5688" w:type="dxa"/>
        <w:jc w:val="left"/>
        <w:tblInd w:w="0" w:type="dxa"/>
        <w:tblLayout w:type="fixed"/>
        <w:tblCellMar>
          <w:top w:w="28" w:type="dxa"/>
          <w:left w:w="28" w:type="dxa"/>
          <w:bottom w:w="28" w:type="dxa"/>
          <w:right w:w="28" w:type="dxa"/>
        </w:tblCellMar>
      </w:tblPr>
      <w:tblGrid>
        <w:gridCol w:w="2161"/>
        <w:gridCol w:w="2071"/>
        <w:gridCol w:w="1456"/>
      </w:tblGrid>
      <w:tr>
        <w:trPr/>
        <w:tc>
          <w:tcPr>
            <w:tcW w:w="21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001-41103</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87-2488708</w:t>
            </w:r>
          </w:p>
        </w:tc>
      </w:tr>
      <w:tr>
        <w:trPr/>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 xml:space="preserve">(State or other </w:t>
            </w:r>
            <w:r>
              <w:rPr>
                <w:rFonts w:ascii="Times New Roman" w:hAnsi="Times New Roman"/>
                <w:b/>
                <w:color w:val="000000"/>
                <w:sz w:val="18"/>
              </w:rPr>
              <w:br/>
            </w:r>
            <w:r>
              <w:rPr>
                <w:rFonts w:ascii="Times New Roman" w:hAnsi="Times New Roman"/>
                <w:color w:val="000000"/>
                <w:sz w:val="18"/>
              </w:rPr>
              <w:t>jurisdiction of incorporation)</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(Commission File Number)</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(I.R.S. Employer </w:t>
              <w:br/>
              <w:t>Identification No.)</w:t>
            </w:r>
          </w:p>
        </w:tc>
      </w:tr>
    </w:tbl>
    <w:p>
      <w:pPr>
        <w:pStyle w:val="TextBody"/>
        <w:bidi w:val="0"/>
        <w:jc w:val="left"/>
        <w:rPr/>
      </w:pPr>
      <w:r>
        <w:rPr/>
        <w:t> </w:t>
      </w:r>
    </w:p>
    <w:tbl>
      <w:tblPr>
        <w:tblW w:w="7558" w:type="dxa"/>
        <w:jc w:val="left"/>
        <w:tblInd w:w="0" w:type="dxa"/>
        <w:tblLayout w:type="fixed"/>
        <w:tblCellMar>
          <w:top w:w="28" w:type="dxa"/>
          <w:left w:w="28" w:type="dxa"/>
          <w:bottom w:w="28" w:type="dxa"/>
          <w:right w:w="28" w:type="dxa"/>
        </w:tblCellMar>
      </w:tblPr>
      <w:tblGrid>
        <w:gridCol w:w="2941"/>
        <w:gridCol w:w="3686"/>
        <w:gridCol w:w="931"/>
      </w:tblGrid>
      <w:tr>
        <w:trPr/>
        <w:tc>
          <w:tcPr>
            <w:tcW w:w="2941"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10370 Richmond Avenue, Suite 1000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Houston, Texas</w:t>
            </w:r>
          </w:p>
        </w:tc>
        <w:tc>
          <w:tcPr>
            <w:tcW w:w="3686"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352425"/>
                          </a:xfrm>
                          <a:prstGeom prst="rect">
                            <a:avLst/>
                          </a:prstGeom>
                        </pic:spPr>
                      </pic:pic>
                    </a:graphicData>
                  </a:graphic>
                </wp:inline>
              </w:drawing>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77042</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3686" w:type="dxa"/>
            <w:vMerge w:val="continue"/>
            <w:tcBorders/>
            <w:tcMar>
              <w:top w:w="0" w:type="dxa"/>
              <w:left w:w="0" w:type="dxa"/>
              <w:bottom w:w="0" w:type="dxa"/>
              <w:right w:w="0" w:type="dxa"/>
            </w:tcMar>
            <w:vAlign w:val="center"/>
          </w:tcPr>
          <w:p>
            <w:pPr>
              <w:pStyle w:val="Normal"/>
              <w:bidi w:val="0"/>
              <w:jc w:val="left"/>
              <w:rPr/>
            </w:pPr>
            <w:r>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 xml:space="preserve">Registrant’s telephone number, including area code: </w:t>
      </w:r>
      <w:r>
        <w:rPr>
          <w:rFonts w:ascii="Times New Roman" w:hAnsi="Times New Roman"/>
          <w:b/>
          <w:color w:val="000000"/>
          <w:sz w:val="18"/>
        </w:rPr>
        <w:t>(832)</w:t>
      </w:r>
      <w:r>
        <w:rPr>
          <w:rFonts w:ascii="Times New Roman" w:hAnsi="Times New Roman"/>
          <w:color w:val="000000"/>
          <w:sz w:val="20"/>
        </w:rPr>
        <w:t xml:space="preserve"> </w:t>
      </w:r>
      <w:r>
        <w:rPr>
          <w:rFonts w:ascii="Times New Roman" w:hAnsi="Times New Roman"/>
          <w:b/>
          <w:color w:val="000000"/>
          <w:sz w:val="18"/>
        </w:rPr>
        <w:t>742-8500</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650" w:type="dxa"/>
        <w:jc w:val="left"/>
        <w:tblInd w:w="0" w:type="dxa"/>
        <w:tblLayout w:type="fixed"/>
        <w:tblCellMar>
          <w:top w:w="28" w:type="dxa"/>
          <w:left w:w="28" w:type="dxa"/>
          <w:bottom w:w="28" w:type="dxa"/>
          <w:right w:w="28" w:type="dxa"/>
        </w:tblCellMar>
      </w:tblPr>
      <w:tblGrid>
        <w:gridCol w:w="3256"/>
        <w:gridCol w:w="146"/>
        <w:gridCol w:w="1561"/>
        <w:gridCol w:w="146"/>
        <w:gridCol w:w="354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DTI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18"/>
        </w:rPr>
      </w:pPr>
      <w:r>
        <w:rPr>
          <w:rFonts w:ascii="Times New Roman" w:hAnsi="Times New Roman"/>
          <w:b/>
          <w:color w:val="000000"/>
          <w:sz w:val="18"/>
        </w:rPr>
        <w:t>Item 2.02. Results of Operations and Financial Condition</w:t>
      </w:r>
    </w:p>
    <w:p>
      <w:pPr>
        <w:pStyle w:val="TextBody"/>
        <w:bidi w:val="0"/>
        <w:spacing w:before="240" w:after="283"/>
        <w:jc w:val="both"/>
        <w:rPr>
          <w:rFonts w:ascii="Times New Roman" w:hAnsi="Times New Roman"/>
          <w:sz w:val="20"/>
        </w:rPr>
      </w:pPr>
      <w:r>
        <w:rPr>
          <w:rFonts w:ascii="Times New Roman" w:hAnsi="Times New Roman"/>
          <w:color w:val="000000"/>
          <w:sz w:val="18"/>
        </w:rPr>
        <w:t>On August 6, 2026, Drilling Tools International Corporation (the “Company”) issued a press release announcing the Company’s financial and operating results for the second quarter ended June 30, 2026. A copy of the press release is furnished as Exhibit 99.1 hereto and incorporated herein by reference.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18"/>
        </w:rPr>
        <w:t>The information in this report and the exhibits attached hereto shall not be deemed to be “filed” for purposes of the Securities Exchange Act of 1934 (the “Exchange Act”) or otherwise subject to the liabilities of that section, nor shall it be deemed incorporated by reference in any filing under the Securities Act of 1933, as amended, or the Exchange Act, regardless of any general incorporation language in such filing.</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Item 9.01. Financial Statements and Exhibits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 Exhibits</w:t>
      </w:r>
    </w:p>
    <w:p>
      <w:pPr>
        <w:pStyle w:val="TextBody"/>
        <w:bidi w:val="0"/>
        <w:jc w:val="left"/>
        <w:rPr/>
      </w:pPr>
      <w:r>
        <w:rPr/>
        <w:t> </w:t>
      </w:r>
    </w:p>
    <w:tbl>
      <w:tblPr>
        <w:tblW w:w="6272" w:type="dxa"/>
        <w:jc w:val="left"/>
        <w:tblInd w:w="0" w:type="dxa"/>
        <w:tblLayout w:type="fixed"/>
        <w:tblCellMar>
          <w:top w:w="28" w:type="dxa"/>
          <w:left w:w="28" w:type="dxa"/>
          <w:bottom w:w="28" w:type="dxa"/>
          <w:right w:w="28" w:type="dxa"/>
        </w:tblCellMar>
      </w:tblPr>
      <w:tblGrid>
        <w:gridCol w:w="436"/>
        <w:gridCol w:w="5836"/>
      </w:tblGrid>
      <w:tr>
        <w:trPr/>
        <w:tc>
          <w:tcPr>
            <w:tcW w:w="43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99.1</w:t>
            </w:r>
          </w:p>
        </w:tc>
        <w:tc>
          <w:tcPr>
            <w:tcW w:w="5836" w:type="dxa"/>
            <w:tcBorders/>
            <w:tcMar>
              <w:top w:w="0" w:type="dxa"/>
              <w:left w:w="0" w:type="dxa"/>
              <w:bottom w:w="0" w:type="dxa"/>
              <w:right w:w="0" w:type="dxa"/>
            </w:tcMar>
            <w:vAlign w:val="center"/>
          </w:tcPr>
          <w:p>
            <w:pPr>
              <w:pStyle w:val="TableContents"/>
              <w:bidi w:val="0"/>
              <w:spacing w:before="0" w:after="283"/>
              <w:jc w:val="left"/>
              <w:rPr/>
            </w:pPr>
            <w:hyperlink w:anchor="dti-ex99_1.htm">
              <w:r>
                <w:rPr>
                  <w:rStyle w:val="InternetLink"/>
                  <w:rFonts w:ascii="Times New Roman" w:hAnsi="Times New Roman"/>
                  <w:color w:val="0000FF"/>
                  <w:sz w:val="18"/>
                  <w:u w:val="single"/>
                </w:rPr>
                <w:t>Press Release, dated August 6, 2026</w:t>
              </w:r>
            </w:hyperlink>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8"/>
        </w:rPr>
      </w:pPr>
      <w:r>
        <w:rPr>
          <w:rFonts w:ascii="Times New Roman" w:hAnsi="Times New Roman"/>
          <w:b/>
          <w:color w:val="000000"/>
          <w:sz w:val="18"/>
        </w:rPr>
        <w:t>SIGNATURE</w:t>
      </w:r>
    </w:p>
    <w:p>
      <w:pPr>
        <w:pStyle w:val="TextBody"/>
        <w:bidi w:val="0"/>
        <w:spacing w:before="240" w:after="283"/>
        <w:ind w:left="0" w:right="0" w:firstLine="720"/>
        <w:jc w:val="left"/>
        <w:rPr>
          <w:rFonts w:ascii="Times New Roman" w:hAnsi="Times New Roman"/>
          <w:color w:val="000000"/>
          <w:sz w:val="18"/>
        </w:rPr>
      </w:pPr>
      <w:r>
        <w:rPr>
          <w:rFonts w:ascii="Times New Roman" w:hAnsi="Times New Roman"/>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Dated: August 6, 2026</w:t>
      </w:r>
    </w:p>
    <w:p>
      <w:pPr>
        <w:pStyle w:val="TextBody"/>
        <w:bidi w:val="0"/>
        <w:jc w:val="left"/>
        <w:rPr/>
      </w:pPr>
      <w:r>
        <w:rPr/>
        <w:t> </w:t>
      </w:r>
    </w:p>
    <w:tbl>
      <w:tblPr>
        <w:tblW w:w="4514" w:type="dxa"/>
        <w:jc w:val="left"/>
        <w:tblInd w:w="0" w:type="dxa"/>
        <w:tblLayout w:type="fixed"/>
        <w:tblCellMar>
          <w:top w:w="28" w:type="dxa"/>
          <w:left w:w="28" w:type="dxa"/>
          <w:bottom w:w="28" w:type="dxa"/>
          <w:right w:w="28" w:type="dxa"/>
        </w:tblCellMar>
      </w:tblPr>
      <w:tblGrid>
        <w:gridCol w:w="442"/>
        <w:gridCol w:w="171"/>
        <w:gridCol w:w="3901"/>
      </w:tblGrid>
      <w:tr>
        <w:trPr/>
        <w:tc>
          <w:tcPr>
            <w:tcW w:w="44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DRILLING TOOLS INTERNATIONAL CORPORATION</w:t>
            </w:r>
          </w:p>
        </w:tc>
      </w:tr>
      <w:tr>
        <w:trPr/>
        <w:tc>
          <w:tcPr>
            <w:tcW w:w="442" w:type="dxa"/>
            <w:tcBorders/>
            <w:tcMar>
              <w:top w:w="0" w:type="dxa"/>
              <w:left w:w="0" w:type="dxa"/>
              <w:bottom w:w="0" w:type="dxa"/>
              <w:right w:w="0" w:type="dxa"/>
            </w:tcMar>
            <w:vAlign w:val="center"/>
          </w:tcPr>
          <w:p>
            <w:pPr>
              <w:pStyle w:val="TableContents"/>
              <w:bidi w:val="0"/>
              <w:spacing w:before="480" w:after="283"/>
              <w:jc w:val="left"/>
              <w:rPr>
                <w:rFonts w:ascii="Times New Roman" w:hAnsi="Times New Roman"/>
                <w:color w:val="000000"/>
                <w:sz w:val="18"/>
              </w:rPr>
            </w:pPr>
            <w:r>
              <w:rPr>
                <w:rFonts w:ascii="Times New Roman" w:hAnsi="Times New Roman"/>
                <w:color w:val="000000"/>
                <w:sz w:val="18"/>
              </w:rPr>
              <w:t>By:</w:t>
            </w:r>
          </w:p>
        </w:tc>
        <w:tc>
          <w:tcPr>
            <w:tcW w:w="171" w:type="dxa"/>
            <w:tcBorders/>
            <w:tcMar>
              <w:top w:w="0" w:type="dxa"/>
              <w:left w:w="0" w:type="dxa"/>
              <w:bottom w:w="0" w:type="dxa"/>
              <w:right w:w="0" w:type="dxa"/>
            </w:tcMar>
            <w:vAlign w:val="center"/>
          </w:tcPr>
          <w:p>
            <w:pPr>
              <w:pStyle w:val="TableContents"/>
              <w:bidi w:val="0"/>
              <w:spacing w:before="480" w:after="283"/>
              <w:jc w:val="left"/>
              <w:rPr/>
            </w:pPr>
            <w:r>
              <w:rPr/>
              <w:t> </w:t>
            </w:r>
          </w:p>
        </w:tc>
        <w:tc>
          <w:tcPr>
            <w:tcW w:w="3901" w:type="dxa"/>
            <w:tcBorders>
              <w:bottom w:val="single" w:sz="4" w:space="0" w:color="000000"/>
            </w:tcBorders>
            <w:tcMar>
              <w:top w:w="0" w:type="dxa"/>
              <w:left w:w="0" w:type="dxa"/>
              <w:right w:w="0" w:type="dxa"/>
            </w:tcMar>
            <w:vAlign w:val="center"/>
          </w:tcPr>
          <w:p>
            <w:pPr>
              <w:pStyle w:val="TableContents"/>
              <w:bidi w:val="0"/>
              <w:spacing w:before="480" w:after="283"/>
              <w:jc w:val="left"/>
              <w:rPr>
                <w:rFonts w:ascii="Times New Roman" w:hAnsi="Times New Roman"/>
                <w:color w:val="000000"/>
                <w:sz w:val="18"/>
              </w:rPr>
            </w:pPr>
            <w:r>
              <w:rPr>
                <w:rFonts w:ascii="Times New Roman" w:hAnsi="Times New Roman"/>
                <w:color w:val="000000"/>
                <w:sz w:val="18"/>
              </w:rPr>
              <w:t>/s/ David R. Johnson</w:t>
            </w:r>
          </w:p>
        </w:tc>
      </w:tr>
      <w:tr>
        <w:trPr/>
        <w:tc>
          <w:tcPr>
            <w:tcW w:w="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R. Johnson</w:t>
            </w:r>
          </w:p>
        </w:tc>
      </w:tr>
      <w:tr>
        <w:trPr/>
        <w:tc>
          <w:tcPr>
            <w:tcW w:w="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r>
        <w:trPr/>
        <w:tc>
          <w:tcPr>
            <w:tcW w:w="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Financial and Accounting Officer)</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 w:name="dti-ex99_1.htm"/>
      <w:bookmarkStart w:id="3" w:name="ksdtiex99_1"/>
      <w:bookmarkEnd w:id="2"/>
      <w:bookmarkEnd w:id="3"/>
      <w:r>
        <w:rPr>
          <w:rFonts w:ascii="Times New Roman" w:hAnsi="Times New Roman"/>
          <w:b/>
          <w:color w:val="000000"/>
          <w:sz w:val="20"/>
        </w:rPr>
        <w:t>Exhibit 99.1</w:t>
      </w:r>
      <w:r>
        <w:rPr>
          <w:rFonts w:ascii="Times New Roman" w:hAnsi="Times New Roman"/>
          <w:color w:val="000000"/>
          <w:sz w:val="20"/>
        </w:rPr>
        <w:t xml:space="preserve"> </w:t>
      </w:r>
      <w:r>
        <w:br w:type="page"/>
      </w:r>
    </w:p>
    <w:tbl>
      <w:tblPr>
        <w:tblW w:w="4816" w:type="dxa"/>
        <w:jc w:val="left"/>
        <w:tblInd w:w="0" w:type="dxa"/>
        <w:tblLayout w:type="fixed"/>
        <w:tblCellMar>
          <w:top w:w="28" w:type="dxa"/>
          <w:left w:w="28" w:type="dxa"/>
          <w:bottom w:w="28" w:type="dxa"/>
          <w:right w:w="28" w:type="dxa"/>
        </w:tblCellMar>
      </w:tblPr>
      <w:tblGrid>
        <w:gridCol w:w="3011"/>
        <w:gridCol w:w="109"/>
        <w:gridCol w:w="1696"/>
      </w:tblGrid>
      <w:tr>
        <w:trPr/>
        <w:tc>
          <w:tcPr>
            <w:tcW w:w="3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0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847850"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47850" cy="2857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i/>
                <w:color w:val="000000"/>
                <w:sz w:val="20"/>
              </w:rPr>
              <w:t>N</w:t>
            </w:r>
            <w:r>
              <w:rPr>
                <w:rFonts w:ascii="Times New Roman" w:hAnsi="Times New Roman"/>
                <w:b/>
                <w:i/>
                <w:color w:val="000000"/>
                <w:sz w:val="15"/>
              </w:rPr>
              <w:t>EWS</w:t>
            </w:r>
            <w:r>
              <w:rPr>
                <w:rFonts w:ascii="Times New Roman" w:hAnsi="Times New Roman"/>
                <w:color w:val="000000"/>
                <w:sz w:val="20"/>
              </w:rPr>
              <w:t> </w:t>
            </w:r>
            <w:r>
              <w:rPr>
                <w:rFonts w:ascii="Times New Roman" w:hAnsi="Times New Roman"/>
                <w:b/>
                <w:i/>
                <w:color w:val="000000"/>
                <w:sz w:val="20"/>
              </w:rPr>
              <w:t>R</w:t>
            </w:r>
            <w:r>
              <w:rPr>
                <w:rFonts w:ascii="Times New Roman" w:hAnsi="Times New Roman"/>
                <w:b/>
                <w:i/>
                <w:color w:val="000000"/>
                <w:sz w:val="15"/>
              </w:rPr>
              <w:t>ELEASE  </w:t>
            </w:r>
          </w:p>
        </w:tc>
      </w:tr>
    </w:tbl>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Drilling Tools International Corp. Reports 2026 Second Quarter Results</w:t>
      </w:r>
    </w:p>
    <w:p>
      <w:pPr>
        <w:pStyle w:val="TextBody"/>
        <w:bidi w:val="0"/>
        <w:jc w:val="center"/>
        <w:rPr>
          <w:rFonts w:ascii="Times New Roman" w:hAnsi="Times New Roman"/>
          <w:b/>
          <w:i/>
          <w:color w:val="000000"/>
          <w:sz w:val="28"/>
        </w:rPr>
      </w:pPr>
      <w:r>
        <w:rPr>
          <w:rFonts w:ascii="Times New Roman" w:hAnsi="Times New Roman"/>
          <w:b/>
          <w:i/>
          <w:color w:val="000000"/>
          <w:sz w:val="28"/>
        </w:rPr>
        <w:t>Reaffirms 2026 Outlook</w:t>
      </w:r>
    </w:p>
    <w:p>
      <w:pPr>
        <w:pStyle w:val="TextBody"/>
        <w:bidi w:val="0"/>
        <w:jc w:val="left"/>
        <w:rPr>
          <w:rFonts w:ascii="Times New Roman" w:hAnsi="Times New Roman"/>
          <w:color w:val="000000"/>
          <w:sz w:val="20"/>
        </w:rPr>
      </w:pPr>
      <w:r>
        <w:rPr>
          <w:rFonts w:ascii="Times New Roman" w:hAnsi="Times New Roman"/>
          <w:color w:val="000000"/>
          <w:sz w:val="20"/>
        </w:rPr>
        <w:t>HOUSTON — August 6, 2026 — Drilling Tools International Corp. (NASDAQ: DTI) (“DTI” or the “Company”), a global oilfield services company that designs, engineers, manufactures and provides a differentiated, rental-focused offering of tools for use in onshore and offshore horizontal and directional drilling operations, as well as other cutting-edge solutions across the well life cycle, today reported its results for the three months ended June 30,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For the second quarter of 2026, DTI generated total consolidated revenue of $38.1 million. Second quarter Tool Rental revenue was $29.6 million, and Product Sales revenue totaled approximately $8.5 million. Net Loss attributable to common stockholders for the second quarter was approximately $1.8 million, or a loss of $0.05 per share. Adjusted Net Loss</w:t>
      </w:r>
      <w:r>
        <w:rPr>
          <w:rFonts w:ascii="Times New Roman" w:hAnsi="Times New Roman"/>
          <w:color w:val="000000"/>
          <w:sz w:val="13"/>
        </w:rPr>
        <w:t>(1)</w:t>
      </w:r>
      <w:r>
        <w:rPr>
          <w:rFonts w:ascii="Times New Roman" w:hAnsi="Times New Roman"/>
          <w:color w:val="000000"/>
          <w:sz w:val="20"/>
        </w:rPr>
        <w:t xml:space="preserve"> was $575,000 and Adjusted EPS</w:t>
      </w:r>
      <w:r>
        <w:rPr>
          <w:rFonts w:ascii="Times New Roman" w:hAnsi="Times New Roman"/>
          <w:color w:val="000000"/>
          <w:sz w:val="13"/>
        </w:rPr>
        <w:t>(1)</w:t>
      </w:r>
      <w:r>
        <w:rPr>
          <w:rFonts w:ascii="Times New Roman" w:hAnsi="Times New Roman"/>
          <w:color w:val="000000"/>
          <w:sz w:val="20"/>
        </w:rPr>
        <w:t xml:space="preserve"> for the second quarter was a loss of $0.02 per share. Second quarter Adjusted EBITDA</w:t>
      </w:r>
      <w:r>
        <w:rPr>
          <w:rFonts w:ascii="Times New Roman" w:hAnsi="Times New Roman"/>
          <w:color w:val="000000"/>
          <w:sz w:val="13"/>
        </w:rPr>
        <w:t xml:space="preserve">(1) </w:t>
      </w:r>
      <w:r>
        <w:rPr>
          <w:rFonts w:ascii="Times New Roman" w:hAnsi="Times New Roman"/>
          <w:color w:val="000000"/>
          <w:sz w:val="20"/>
        </w:rPr>
        <w:t>was $8.4 million and Adjusted Free Cash Flow</w:t>
      </w:r>
      <w:r>
        <w:rPr>
          <w:rFonts w:ascii="Times New Roman" w:hAnsi="Times New Roman"/>
          <w:color w:val="000000"/>
          <w:sz w:val="13"/>
        </w:rPr>
        <w:t>(1)(2)</w:t>
      </w:r>
      <w:r>
        <w:rPr>
          <w:rFonts w:ascii="Times New Roman" w:hAnsi="Times New Roman"/>
          <w:color w:val="000000"/>
          <w:sz w:val="20"/>
        </w:rPr>
        <w:t xml:space="preserve"> was $4.1 million. As of June 30, 2026, DTI had $2.5 million of cash and cash equivalents, and Net Debt</w:t>
      </w:r>
      <w:r>
        <w:rPr>
          <w:rFonts w:ascii="Times New Roman" w:hAnsi="Times New Roman"/>
          <w:color w:val="000000"/>
          <w:sz w:val="13"/>
        </w:rPr>
        <w:t>(1)</w:t>
      </w:r>
      <w:r>
        <w:rPr>
          <w:rFonts w:ascii="Times New Roman" w:hAnsi="Times New Roman"/>
          <w:color w:val="000000"/>
          <w:sz w:val="20"/>
        </w:rPr>
        <w:t xml:space="preserve"> of $51.7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Wayne Prejean, Chairman of the Board and Chief Executive Officer, stated, “I’m pleased with our performance in the second quarter, which reflects the resilience of our operations, the benefits of our geographic diversification and the durability of our unique platform. Despite softer North American land activity and disruption in the Middle East, we delivered strong results, most notably our Adjusted Free Cash Flow, which improved considerably on both a sequential and year-over-year basis. We are building solid momentum, and it’s evident that the strength of our differentiated business model and disciplined execution is creating earnings power that will only grow as activity improves.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As we look forward, we are encouraged by early signs of recovery in several of the key regions in which we operate. The U.S. land rig count built steadily through the second quarter, adding more than 20 rigs in June alone to finish above the prior-year June level, and added nearly 19 more in July, with additions of bottom-hole assembly rigs, the largest part of our business, outpacing that broader market growth. In Canada, the softness that weighed on activity early in the quarter has abated, with the rig count building through June to finish the quarter above prior-year levels and pointing to a firming market as the year progresses. In Europe and the Gulf of America, our ClearPath stabilizer technology is gaining real traction in offshore markets, where the highest-spec operators are placing a premium on its performance. New awards related to this cutting-edge technology are expected to drive a material step-up in our European contribution in the second half of the year, and we expect these awards to represent the first of many wins to come. In the Middle East, our targeted footprint and specialized product lines have kept demand for our tools steady through a disruptive period, leaving substantial opportunities still ahead of us. Given our confidence in a strong second half to 2026, we are reaffirming our full-year guidance ranges, which represent growth at the midpoint compared to our 2025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excited about the future and believe we are well positioned to benefit from recent activity trends. We have built a solid foundation, further strengthened by our recent acquisitions, as we continue to penetrate new markets and grow throughout the Eastern Hemisphere. Our differentiated technology portfolio is enabling us to win new business on improving commercial terms, and price-focused customers are returning to DTI as they come to appreciate the value we deliver in the field. As we have done successfully in the past, we will continue to strategically evaluate growth opportunities, including accretive acquisitions that meet our stringent return profile, but always with a disciplined focus on profitable growth and lasting value creation for our shareholders,” concluded Prejean.</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2026 Full Year Outlook</w:t>
      </w:r>
      <w:r>
        <w:rPr>
          <w:rFonts w:ascii="Times New Roman" w:hAnsi="Times New Roman"/>
          <w:color w:val="000000"/>
          <w:sz w:val="20"/>
        </w:rPr>
        <w:t xml:space="preserve"> </w:t>
      </w:r>
    </w:p>
    <w:p>
      <w:pPr>
        <w:pStyle w:val="TextBody"/>
        <w:bidi w:val="0"/>
        <w:spacing w:before="240" w:after="283"/>
        <w:jc w:val="left"/>
        <w:rPr/>
      </w:pPr>
      <w:r>
        <w:rPr/>
        <w:t> </w:t>
      </w:r>
    </w:p>
    <w:tbl>
      <w:tblPr>
        <w:tblW w:w="5632" w:type="dxa"/>
        <w:jc w:val="left"/>
        <w:tblInd w:w="0" w:type="dxa"/>
        <w:tblLayout w:type="fixed"/>
        <w:tblCellMar>
          <w:top w:w="28" w:type="dxa"/>
          <w:left w:w="28" w:type="dxa"/>
          <w:bottom w:w="28" w:type="dxa"/>
          <w:right w:w="28" w:type="dxa"/>
        </w:tblCellMar>
      </w:tblPr>
      <w:tblGrid>
        <w:gridCol w:w="2551"/>
        <w:gridCol w:w="146"/>
        <w:gridCol w:w="1186"/>
        <w:gridCol w:w="146"/>
        <w:gridCol w:w="226"/>
        <w:gridCol w:w="146"/>
        <w:gridCol w:w="123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$170 million</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 million</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Adjusted EBITDA Margin</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Adjusted Free Cash Flow</w:t>
            </w:r>
            <w:r>
              <w:rPr>
                <w:rFonts w:ascii="Times New Roman" w:hAnsi="Times New Roman"/>
                <w:b/>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 million</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0" w:after="0"/>
        <w:ind w:left="950" w:right="720" w:hanging="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Adjusted Net Income (Loss), Adjusted Basic EPS, Adjusted Diluted EPS, Adjusted EBITDA, Adjusted EBITDA Margin, Net Debt, and Adjusted Free Cash Flow are non-GAAP financial measures. See “Non-GAAP Financial Measures” at the end of this release for a discussion of reconciliations to the most directly comparable financial measures calculated and presented in accordance with U.S. generally accepted accounting principles (“GAAP”). </w:t>
      </w:r>
    </w:p>
    <w:p>
      <w:pPr>
        <w:pStyle w:val="TextBody"/>
        <w:bidi w:val="0"/>
        <w:spacing w:before="60" w:after="283"/>
        <w:ind w:left="950" w:right="720" w:hanging="0"/>
        <w:jc w:val="left"/>
        <w:rPr>
          <w:rFonts w:ascii="Times New Roman" w:hAnsi="Times New Roman"/>
          <w:color w:val="000000"/>
          <w:sz w:val="16"/>
        </w:rPr>
      </w:pPr>
      <w:r>
        <w:rPr>
          <w:rFonts w:ascii="Times New Roman" w:hAnsi="Times New Roman"/>
          <w:color w:val="000000"/>
          <w:sz w:val="16"/>
        </w:rPr>
        <w:t>(2)</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Adjusted Free Cash Flow is defined as Adjusted EBITDA less Gross Capital Expenditures.</w:t>
      </w:r>
    </w:p>
    <w:p>
      <w:pPr>
        <w:pStyle w:val="TextBody"/>
        <w:bidi w:val="0"/>
        <w:spacing w:before="24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2026 Second Quarter Conference Call Information</w:t>
      </w:r>
    </w:p>
    <w:p>
      <w:pPr>
        <w:pStyle w:val="TextBody"/>
        <w:bidi w:val="0"/>
        <w:jc w:val="left"/>
        <w:rPr>
          <w:rFonts w:ascii="Times New Roman" w:hAnsi="Times New Roman"/>
          <w:color w:val="000000"/>
          <w:sz w:val="20"/>
        </w:rPr>
      </w:pPr>
      <w:r>
        <w:rPr>
          <w:rFonts w:ascii="Times New Roman" w:hAnsi="Times New Roman"/>
          <w:color w:val="000000"/>
          <w:sz w:val="20"/>
        </w:rPr>
        <w:t>DTI's 2026 second quarter conference call can be accessed live via dial-in or webcast on Friday, August 7, 2026 at 10:00 a.m. Eastern Time (9:00 a.m. Central Time) by dialing 201-389-0869 and asking for the DTI call at least 10 minutes prior to the start time, or via live webcast by logging onto the webcast at this URL address: https://investors.drillingtools.com/news-events/events. An audio replay will be available through August 14, 2026 by dialing 201-612-7415 and using passcode 13761577#. Also, an archive of the webcast will be available shortly after the call at https://investors.drillingtools.com/news-events/events for 90 days. Please submit any questions for management prior to the call via email to DTI@dennardlascar.com.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About Drilling Tools International Corp.</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DTI is a Houston, Texas based leading oilfield services company that manufactures and rents downhole drilling tools used in horizontal and directional drilling of oil and natural gas wells. With roots dating back to 1984, DTI operates from 15 service and support centers across North America and maintains 11 international service and support centers across the EMEA and APAC regions. To learn more about DTI, please visit: www.drillingtools.com.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Contact: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DTI Investor Relations </w:t>
      </w:r>
    </w:p>
    <w:p>
      <w:pPr>
        <w:pStyle w:val="TextBody"/>
        <w:bidi w:val="0"/>
        <w:jc w:val="left"/>
        <w:rPr>
          <w:rFonts w:ascii="Times New Roman" w:hAnsi="Times New Roman"/>
          <w:color w:val="000000"/>
          <w:sz w:val="20"/>
        </w:rPr>
      </w:pPr>
      <w:r>
        <w:rPr>
          <w:rFonts w:ascii="Times New Roman" w:hAnsi="Times New Roman"/>
          <w:color w:val="000000"/>
          <w:sz w:val="20"/>
        </w:rPr>
        <w:t>Ken Dennard / Natalie Hairston</w:t>
      </w:r>
    </w:p>
    <w:p>
      <w:pPr>
        <w:pStyle w:val="TextBody"/>
        <w:bidi w:val="0"/>
        <w:jc w:val="left"/>
        <w:rPr>
          <w:rFonts w:ascii="Times New Roman" w:hAnsi="Times New Roman"/>
          <w:sz w:val="20"/>
        </w:rPr>
      </w:pPr>
      <w:r>
        <w:rPr>
          <w:rFonts w:ascii="Times New Roman" w:hAnsi="Times New Roman"/>
          <w:color w:val="0000FF"/>
          <w:sz w:val="20"/>
          <w:u w:val="single"/>
        </w:rPr>
        <w:t>InvestorRelations@drillingtools.com</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u w:val="single"/>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may include, and oral statements made from time to time by representatives of the Company may include, “forward-looking statements” within the meaning of the Private Securities Litigation Reform Act of 1995, including Section 27A of the Securities Act of 1933, as amended, and Section 21E of the Securities Exchange Act of 1934, as amended. Statements other than statements of historical fact included in this press release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 looking. These forward-looking statements include, but are not limited to, statements regarding DTI and its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Forward-looking statements in this press release may include, for example, statements about: (1) the demand for DTI’s products and services, which is influenced by the general level activity in the oil and gas industry; (2) DTI’s ability to retain its customers, particularly those that contribute to a large portion of its revenue; (3) DTI’s ability to employ and retain a sufficient number of skilled and qualified workers, including its key personnel; (4) DTI’s ability to source tools and raw materials at a reasonable cost; (5) DTI’s ability to market its services in a competitive industry; (6) DTI’s ability to execute, integrate and realize the benefits of acquisitions, and manage the resulting growth of its business; (7) potential liability for claims arising from damage or harm caused by the operation of DTI’s tools, or otherwise arising from the dangerous activities that are inherent in the oil and gas industry; (8) DTI’s ability to obtain additional capital; (9) potential political, regulatory, economic and social disruptions in the countries in which DTI conducts business, including changes in tax laws or tax rates; (10) DTI’s dependence on its information technology systems, in particular Customer Order Management Portal and Support System, for the efficient operation of DTI’s business; (11) DTI’s ability to comply with applicable laws, regulations and rules, including those related to the environment, greenhouse gases and climate change; (12) DTI’s ability to maintain an effective system of disclosure controls and internal control over financial reporting; (13) the potential for volatility in the market price of DTI’s common stock; (14) the impact of increased legal, accounting, administrative and other costs incurred as a public company, including the impact of possible shareholder litigation; (15) the potential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for issuance of additional shares of DTI’s common stock or other equity securities; (16) DTI’s ability to maintain the listing of its common stock on Nasdaq; and (17) other risks and uncertainties described from time to time in DTI’s most recent Forms 10-K, 10-Q and 8-K filed with or furnished to the Securities and Exchange Commission (the “SEC”). You should carefully consider the risks and uncertainties including those described in Part I, Item 1A – “Risk Factors” of our Annual Report on Form 10-K filed on March 6, 2026 and in comparable “Risk Factor” sections of our Quarterly Reports on Form 10-Q filed after such Form 10-K. Such forward-looking statements are based on the beliefs of management of DTI, as well as assumptions made by, and information currently available to DTI’s management and are subject to numerous conditions, many of which are beyond the control of DTI. Actual results could differ materially from those contemplated by the forward-looking statements as a result of certain factors detailed in DTI’s most recent Forms 10-K, 10-Q and 8-K filed with or furnished to the SEC. All subsequent written or oral forward-looking statements attributable to the Company or persons acting on its behalf are qualified in their entirety by this paragraph. The Company undertakes no obligation to update these statements for revisions or changes after the date of this release, except as required by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42"/>
        <w:gridCol w:w="146"/>
        <w:gridCol w:w="211"/>
        <w:gridCol w:w="1036"/>
        <w:gridCol w:w="166"/>
        <w:gridCol w:w="146"/>
        <w:gridCol w:w="211"/>
        <w:gridCol w:w="1036"/>
        <w:gridCol w:w="211"/>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9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9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Comprehensive Income (Loss) (Unaudited)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9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 rental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other 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tool rental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asset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and non-operating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other deductions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Drilling Tools International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35,276,155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35,573,749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35,276,155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35,573,749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comprehensive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 attributable to Drilling Tools International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tbl>
      <w:tblPr>
        <w:tblW w:w="9524" w:type="dxa"/>
        <w:jc w:val="left"/>
        <w:tblInd w:w="0" w:type="dxa"/>
        <w:tblLayout w:type="fixed"/>
        <w:tblCellMar>
          <w:top w:w="28" w:type="dxa"/>
          <w:left w:w="28" w:type="dxa"/>
          <w:bottom w:w="28" w:type="dxa"/>
          <w:right w:w="28" w:type="dxa"/>
        </w:tblCellMar>
      </w:tblPr>
      <w:tblGrid>
        <w:gridCol w:w="6361"/>
        <w:gridCol w:w="146"/>
        <w:gridCol w:w="211"/>
        <w:gridCol w:w="1036"/>
        <w:gridCol w:w="166"/>
        <w:gridCol w:w="146"/>
        <w:gridCol w:w="211"/>
        <w:gridCol w:w="1036"/>
        <w:gridCol w:w="211"/>
      </w:tblGrid>
      <w:tr>
        <w:trPr/>
        <w:tc>
          <w:tcPr>
            <w:tcW w:w="6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3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Comprehensive Income (Loss) (Unaudited)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 rental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other 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tool rental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asset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and non-operating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other deductions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Drilling Tools International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35,202,327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35,583,139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35,202,327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35,583,139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comprehensive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233"/>
        <w:gridCol w:w="146"/>
        <w:gridCol w:w="211"/>
        <w:gridCol w:w="781"/>
        <w:gridCol w:w="166"/>
        <w:gridCol w:w="146"/>
        <w:gridCol w:w="236"/>
        <w:gridCol w:w="874"/>
        <w:gridCol w:w="412"/>
      </w:tblGrid>
      <w:tr>
        <w:trPr/>
        <w:tc>
          <w:tcPr>
            <w:tcW w:w="7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979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 (Unaudited)</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3"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 note receivable,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financing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 note receivable,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Deposits and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222,181</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Revolving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99,308</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shares authorized 125,000,000; issued 36,057,592 and 35,661,297, respectively; outstanding 35,282,224 and 35,156,128,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Treasury stock at cost, 775,368 and 505,169 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130,801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Drilling Tools International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122,873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222,181</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tbl>
      <w:tblPr>
        <w:tblW w:w="10096" w:type="dxa"/>
        <w:jc w:val="left"/>
        <w:tblInd w:w="0" w:type="dxa"/>
        <w:tblLayout w:type="fixed"/>
        <w:tblCellMar>
          <w:top w:w="28" w:type="dxa"/>
          <w:left w:w="28" w:type="dxa"/>
          <w:bottom w:w="28" w:type="dxa"/>
          <w:right w:w="28" w:type="dxa"/>
        </w:tblCellMar>
      </w:tblPr>
      <w:tblGrid>
        <w:gridCol w:w="6586"/>
        <w:gridCol w:w="146"/>
        <w:gridCol w:w="282"/>
        <w:gridCol w:w="986"/>
        <w:gridCol w:w="222"/>
        <w:gridCol w:w="195"/>
        <w:gridCol w:w="282"/>
        <w:gridCol w:w="986"/>
        <w:gridCol w:w="411"/>
      </w:tblGrid>
      <w:tr>
        <w:trPr/>
        <w:tc>
          <w:tcPr>
            <w:tcW w:w="6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968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8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Cash Flows (Unaudited)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8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(used in)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(gain) on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Write off of excess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Write off of excess and obsolete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(recovery)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(gain) on sale of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sale of lost-in-hole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on related party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a business,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lost-in-hole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of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revolving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on revolving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(21,459</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 of changes in foreign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r>
        <w:rPr>
          <w:rFonts w:ascii="Times New Roman" w:hAnsi="Times New Roman"/>
          <w:b/>
          <w:color w:val="000000"/>
          <w:sz w:val="22"/>
        </w:rPr>
        <w:t>Non-GAAP Financial Measures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release includes Adjusted EBITDA, Adjusted EBITDA Margin, Adjusted Free Cash Flow, Adjusted Free Cash Flow Margin, Net Debt, Adjusted Basic Earnings (Loss) Per Share, Adjusted Diluted Earnings (Loss) Per Share and Adjusted Net Income (Loss) measures. Each of these metrics is a “non-GAAP financial measure” as defined in Regulation G of the Securities Exchange Act of 1934.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Adjusted EBITDA and Adjusted EBITDA Margin are useful because they allow us to supplement the GAAP measures in order to more effectively evaluate our operating performance and compare the results of our operations from period to period without regard to our financing methods or capital structure. We exclude the items listed above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income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Free Cash Flow is a supplemental non-GAAP financial measure, and we define Adjusted Free Cash Flow as Adjusted EBITDA less Gross Capital Expenditures. We use Adjusted Free Cash Flow as a financial performance measure for planning, forecasting, and evaluating our performance. We believe that Adjusted Free Cash Flow is useful to enable investors and others to perform comparisons of current and historical performance of the Company. As a performance measure, rather than a liquidity measure, the most closely comparable GAAP measure is net income (loss).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Debt is a supplemental non-GAAP financial measure, and we define Net Debt as total debt less cash and cash equivalents. We use Net Debt to determine our outstanding debt obligations that would not be readily satisfied by our cash and cash equivalents on hand. We believe this metric is useful to analysts and investors in determining our leverage position since we have the ability to, and may decide to, use a portion of our cash and cash equivalents to reduce debt. As of June 30, 2026, Net Debt was $51.7 million, calculated as current maturities of long-term debt of $5.9 million, revolving line of credit of $39.3 million and long-term debt, less current portion of $9.0 million, less cash and cash equivalents of $2.5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define Adjusted Net Income (Loss) as consolidated net income (loss) adjusted for (i) goodwill and/or long-lived asset impairment charges, (ii) restructuring charges, (iii) transaction and integration costs related to acquisitions, (iv) income tax expense (or loss) which is calculated by applying a 25% effective tax rate to adjusted pre-tax income (or loss), and (v) other expenses or charges to exclude certain items that we believe are not reflective of the ongoing performance of our business. We believe Adjusted Net Income (Loss) is useful because it allows us to exclude certain items in evaluating our operating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define Adjusted Basic Earnings (Loss) and Adjusted Diluted Earnings (Loss) per share as the quotient of adjusted net income (loss) and diluted weighted average common shares. We believe that Adjusted Diluted Earnings (Loss) per share provides useful information to investors because it allows us to exclude non-recurring items in evaluating our operating performance on a diluted per share basis.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release also includes certain projections of non-GAAP financial measures. The reconciliations of estimated Adjusted EBITDA and estimated Adjusted Free Cash Flow to estimated net income (loss) include estimates of interest expense, income tax expense, depreciation and amortization, management fees, other expense, stock option exercise, goodwill impairment, transaction expense, and capital expenditures, which are difficult to predict and estimate and are primarily dependent on future events.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and narrative reconciliations of the non-GAAP financial measures of Adjusted EBITDA, Adjusted Free Cash Flow, Net Debt, and Adjusted Net Income to the most directly comparable GAAP financial measures for the periods indicated: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tbl>
      <w:tblPr>
        <w:tblW w:w="7291" w:type="dxa"/>
        <w:jc w:val="left"/>
        <w:tblInd w:w="0" w:type="dxa"/>
        <w:tblLayout w:type="fixed"/>
        <w:tblCellMar>
          <w:top w:w="28" w:type="dxa"/>
          <w:left w:w="28" w:type="dxa"/>
          <w:bottom w:w="28" w:type="dxa"/>
          <w:right w:w="28" w:type="dxa"/>
        </w:tblCellMar>
      </w:tblPr>
      <w:tblGrid>
        <w:gridCol w:w="4191"/>
        <w:gridCol w:w="146"/>
        <w:gridCol w:w="259"/>
        <w:gridCol w:w="831"/>
        <w:gridCol w:w="204"/>
        <w:gridCol w:w="179"/>
        <w:gridCol w:w="259"/>
        <w:gridCol w:w="831"/>
        <w:gridCol w:w="3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0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0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to Non-GAAP Measures (Unaudited)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0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00"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(gain) on sale of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Transaction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operating and non-operating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(gain) on sale of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Transaction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operating and non-operating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15,885</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tbl>
      <w:tblPr>
        <w:tblW w:w="7292" w:type="dxa"/>
        <w:jc w:val="left"/>
        <w:tblInd w:w="0" w:type="dxa"/>
        <w:tblLayout w:type="fixed"/>
        <w:tblCellMar>
          <w:top w:w="28" w:type="dxa"/>
          <w:left w:w="28" w:type="dxa"/>
          <w:bottom w:w="28" w:type="dxa"/>
          <w:right w:w="28" w:type="dxa"/>
        </w:tblCellMar>
      </w:tblPr>
      <w:tblGrid>
        <w:gridCol w:w="4191"/>
        <w:gridCol w:w="146"/>
        <w:gridCol w:w="245"/>
        <w:gridCol w:w="856"/>
        <w:gridCol w:w="193"/>
        <w:gridCol w:w="169"/>
        <w:gridCol w:w="245"/>
        <w:gridCol w:w="856"/>
        <w:gridCol w:w="3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0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0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to Non-GAAP Measures (Unaudited)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0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(gain) on sale of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Transaction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operating and non-operating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(gain) on sale of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Transaction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operating and non-operating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tbl>
      <w:tblPr>
        <w:tblW w:w="7894" w:type="dxa"/>
        <w:jc w:val="left"/>
        <w:tblInd w:w="0" w:type="dxa"/>
        <w:tblLayout w:type="fixed"/>
        <w:tblCellMar>
          <w:top w:w="28" w:type="dxa"/>
          <w:left w:w="28" w:type="dxa"/>
          <w:bottom w:w="28" w:type="dxa"/>
          <w:right w:w="28" w:type="dxa"/>
        </w:tblCellMar>
      </w:tblPr>
      <w:tblGrid>
        <w:gridCol w:w="4531"/>
        <w:gridCol w:w="146"/>
        <w:gridCol w:w="211"/>
        <w:gridCol w:w="1036"/>
        <w:gridCol w:w="166"/>
        <w:gridCol w:w="146"/>
        <w:gridCol w:w="211"/>
        <w:gridCol w:w="1036"/>
        <w:gridCol w:w="41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4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to Non-GAAP Measures (Unaudited)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83"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Transaction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Software implementation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Basic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35,276,155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35,573,749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35,276,155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35,573,749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Transaction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Software implementation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Basic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35,202,327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35,583,139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35,202,327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35,622,914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tbl>
      <w:tblPr>
        <w:tblW w:w="7448" w:type="dxa"/>
        <w:jc w:val="left"/>
        <w:tblInd w:w="0" w:type="dxa"/>
        <w:tblLayout w:type="fixed"/>
        <w:tblCellMar>
          <w:top w:w="28" w:type="dxa"/>
          <w:left w:w="28" w:type="dxa"/>
          <w:bottom w:w="28" w:type="dxa"/>
          <w:right w:w="28" w:type="dxa"/>
        </w:tblCellMar>
      </w:tblPr>
      <w:tblGrid>
        <w:gridCol w:w="3492"/>
        <w:gridCol w:w="432"/>
        <w:gridCol w:w="271"/>
        <w:gridCol w:w="1008"/>
        <w:gridCol w:w="387"/>
        <w:gridCol w:w="188"/>
        <w:gridCol w:w="271"/>
        <w:gridCol w:w="1008"/>
        <w:gridCol w:w="391"/>
      </w:tblGrid>
      <w:tr>
        <w:trPr/>
        <w:tc>
          <w:tcPr>
            <w:tcW w:w="349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5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Estimated Consolidated Net Income (Loss) to Adjusted EBITDA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(deduct):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fees</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 expense</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expense</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35,000</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155,000</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tbl>
      <w:tblPr>
        <w:tblW w:w="7918" w:type="dxa"/>
        <w:jc w:val="left"/>
        <w:tblInd w:w="0" w:type="dxa"/>
        <w:tblLayout w:type="fixed"/>
        <w:tblCellMar>
          <w:top w:w="28" w:type="dxa"/>
          <w:left w:w="28" w:type="dxa"/>
          <w:bottom w:w="28" w:type="dxa"/>
          <w:right w:w="28" w:type="dxa"/>
        </w:tblCellMar>
      </w:tblPr>
      <w:tblGrid>
        <w:gridCol w:w="3916"/>
        <w:gridCol w:w="465"/>
        <w:gridCol w:w="283"/>
        <w:gridCol w:w="990"/>
        <w:gridCol w:w="404"/>
        <w:gridCol w:w="196"/>
        <w:gridCol w:w="283"/>
        <w:gridCol w:w="990"/>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52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2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Estimated Consolidated Net Income (Loss) to Adjusted Free Cash Flow</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2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2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(deduct):</w:t>
            </w:r>
          </w:p>
        </w:tc>
        <w:tc>
          <w:tcPr>
            <w:tcW w:w="4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4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4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4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fees</w:t>
            </w:r>
          </w:p>
        </w:tc>
        <w:tc>
          <w:tcPr>
            <w:tcW w:w="4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4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 expense</w:t>
            </w:r>
          </w:p>
        </w:tc>
        <w:tc>
          <w:tcPr>
            <w:tcW w:w="4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4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expense</w:t>
            </w:r>
          </w:p>
        </w:tc>
        <w:tc>
          <w:tcPr>
            <w:tcW w:w="4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w:t>
            </w:r>
          </w:p>
        </w:tc>
        <w:tc>
          <w:tcPr>
            <w:tcW w:w="4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Free Cash Flow</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17,000</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Free Cash Flow Margin</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4834</Words>
  <Characters>26902</Characters>
  <CharactersWithSpaces>32233</CharactersWithSpaces>
  <Paragraphs>2600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