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Kimes Daniel Jeffrey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10370 RICHMOND AVE, SUITE 1000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04/28/2026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Drilling Tools International Corp</w:t>
              </w:r>
            </w:hyperlink>
            <w:r>
              <w:rPr/>
              <w:t xml:space="preserve"> [ </w:t>
            </w:r>
            <w:r>
              <w:rPr>
                <w:rFonts w:ascii="Times;serif" w:hAnsi="Times;serif"/>
                <w:color w:val="0000FF"/>
                <w:sz w:val="24"/>
                <w:shd w:fill="FFFFFF" w:val="clear"/>
              </w:rPr>
              <w:t>DTI</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216,575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Niedzwiecki,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dti-ex24.htm"/>
      <w:bookmarkStart w:id="3" w:name="ksdtiex24"/>
      <w:bookmarkEnd w:id="2"/>
      <w:bookmarkEnd w:id="3"/>
      <w:r>
        <w:rPr/>
        <w:t> </w:t>
      </w:r>
      <w:r>
        <w:br w:type="page"/>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POWER OF ATTORNEY</w:t>
      </w:r>
    </w:p>
    <w:p>
      <w:pPr>
        <w:pStyle w:val="TextBody"/>
        <w:bidi w:val="0"/>
        <w:jc w:val="both"/>
        <w:rPr>
          <w:rFonts w:ascii="Times New Roman" w:hAnsi="Times New Roman"/>
          <w:sz w:val="20"/>
        </w:rPr>
      </w:pPr>
      <w:r>
        <w:rPr>
          <w:rFonts w:ascii="Times New Roman" w:hAnsi="Times New Roman"/>
          <w:color w:val="000000"/>
          <w:sz w:val="24"/>
        </w:rPr>
        <w:t>Know all by these presents, that the undersigned hereby constitutes and appoints David Johnson, Christian Middleton, Michael Blankenship, John Niedzwiecki, Riley Doggett and Kate Kaufman as the undersigned’s true and lawful attorney-in-fact and agent, with full power of substitution and resubstitution, for the undersigned and in the undersigned’s name, place and stead to:</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color w:val="000000"/>
          <w:sz w:val="24"/>
        </w:rPr>
        <w:t>take such actions as may be necessary or appropriate to enable the undersigned to submit and file forms, schedules and other documents with the U.S. Securities and Exchange Commission (the “</w:t>
      </w:r>
      <w:r>
        <w:rPr>
          <w:rFonts w:ascii="Times New Roman" w:hAnsi="Times New Roman"/>
          <w:color w:val="000000"/>
          <w:sz w:val="24"/>
          <w:u w:val="single"/>
        </w:rPr>
        <w:t>SEC</w:t>
      </w:r>
      <w:r>
        <w:rPr>
          <w:color w:val="000000"/>
        </w:rPr>
        <w:t>”</w:t>
      </w:r>
      <w:r>
        <w:rPr>
          <w:rFonts w:ascii="Times New Roman" w:hAnsi="Times New Roman"/>
          <w:color w:val="000000"/>
          <w:sz w:val="24"/>
        </w:rPr>
        <w:t>) utilizing the SEC’s Electronic Data Gathering and Retrieval (“</w:t>
      </w:r>
      <w:r>
        <w:rPr>
          <w:rFonts w:ascii="Times New Roman" w:hAnsi="Times New Roman"/>
          <w:color w:val="000000"/>
          <w:sz w:val="24"/>
          <w:u w:val="single"/>
        </w:rPr>
        <w:t>EDGAR</w:t>
      </w:r>
      <w:r>
        <w:rPr>
          <w:color w:val="000000"/>
        </w:rPr>
        <w:t>”</w:t>
      </w:r>
      <w:r>
        <w:rPr>
          <w:rFonts w:ascii="Times New Roman" w:hAnsi="Times New Roman"/>
          <w:color w:val="000000"/>
          <w:sz w:val="24"/>
        </w:rPr>
        <w:t xml:space="preserve">) system, which actions may include preparing, executing and submitting to the SEC a Form ID, amendments thereto, and such other documents and information as may be necessary or appropriate to obtain codes and passwords enabling the undersigned to make filings and submissions utilizing the EDGAR system;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 xml:space="preserve">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including Forms 3, 4 and 5, Schedules 13D and 13G, and Forms 144;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rFonts w:ascii="Times New Roman" w:hAnsi="Times New Roman"/>
          <w:color w:val="000000"/>
          <w:sz w:val="24"/>
        </w:rPr>
      </w:pPr>
      <w:r>
        <w:rPr>
          <w:rFonts w:ascii="Times New Roman" w:hAnsi="Times New Roman"/>
          <w:color w:val="000000"/>
          <w:sz w:val="24"/>
        </w:rPr>
        <w:t>act for and on behalf of the undersigned as the EDGAR Account Administrator in accordance with the rules and regulations of the SEC; and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jc w:val="both"/>
        <w:rPr>
          <w:rFonts w:ascii="Times New Roman" w:hAnsi="Times New Roman"/>
          <w:color w:val="000000"/>
          <w:sz w:val="24"/>
        </w:rPr>
      </w:pPr>
      <w:r>
        <w:rPr>
          <w:rFonts w:ascii="Times New Roman" w:hAnsi="Times New Roman"/>
          <w:color w:val="000000"/>
          <w:sz w:val="24"/>
        </w:rPr>
        <w:t xml:space="preserve">take any other action of any type whatsoever in connection with the foregoing which,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undersigned hereby grants to said attorney-in-fact and agent full power and authority to do and perform any and every act and thing whatsoever requisite necessary or proper to be done under the rules and regulations of the SEC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Power of Attorney shall remain in full force and effect until revoked by the undersigned in a signed writing delivered to the foregoing attorney-in-fact and agent.</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IN WITNESS WHEREOF, the undersigned has caused this Power of Attorney to be executed as of April 28, 2026.</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tbl>
      <w:tblPr>
        <w:tblW w:w="2179" w:type="dxa"/>
        <w:jc w:val="left"/>
        <w:tblInd w:w="0" w:type="dxa"/>
        <w:tblLayout w:type="fixed"/>
        <w:tblCellMar>
          <w:top w:w="28" w:type="dxa"/>
          <w:left w:w="28" w:type="dxa"/>
          <w:bottom w:w="28" w:type="dxa"/>
          <w:right w:w="28" w:type="dxa"/>
        </w:tblCellMar>
      </w:tblPr>
      <w:tblGrid>
        <w:gridCol w:w="161"/>
        <w:gridCol w:w="146"/>
        <w:gridCol w:w="168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Daniel Kimes</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Daniel Kimes</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94771" TargetMode="External"/><Relationship Id="rId3" Type="http://schemas.openxmlformats.org/officeDocument/2006/relationships/hyperlink" Target="http://www.sec.gov/cgi-bin/browse-edgar?action=getcompany&amp;CIK=000188451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888</Words>
  <Characters>4777</Characters>
  <CharactersWithSpaces>5643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