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Pope Trent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DRILLING TOOLS INTERNATIONAL CORP.</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10370 RICHMOND AVENUE,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Drilling Tools International Corp</w:t>
              </w:r>
            </w:hyperlink>
            <w:r>
              <w:rPr/>
              <w:t xml:space="preserve"> [ </w:t>
            </w:r>
            <w:r>
              <w:rPr>
                <w:rFonts w:ascii="Times;serif" w:hAnsi="Times;serif"/>
                <w:color w:val="0000FF"/>
                <w:sz w:val="24"/>
                <w:shd w:fill="FFFFFF" w:val="clear"/>
              </w:rPr>
              <w:t>DTI</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03/12/2026</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02/28/2026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4,448</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10,552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3"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400"/>
        <w:gridCol w:w="401"/>
        <w:gridCol w:w="906"/>
        <w:gridCol w:w="801"/>
        <w:gridCol w:w="891"/>
        <w:gridCol w:w="636"/>
        <w:gridCol w:w="801"/>
        <w:gridCol w:w="936"/>
        <w:gridCol w:w="831"/>
        <w:gridCol w:w="846"/>
      </w:tblGrid>
      <w:tr>
        <w:trPr>
          <w:tblHeader w:val="true"/>
        </w:trPr>
        <w:tc>
          <w:tcPr>
            <w:tcW w:w="1202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67,505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RSU represents a contingent right to receive one share of the Company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February 27, 2026, the reporting person was granted 22,502 RSUs under the Company's 2023 Omnibus Incentive Plan, as may be amended from time to time (the "Plan"), pursuant to the 2026 long-term incentive program approved by the Board of Directors (the "2026 LTIP"). The RSUs vest in substantially equal installments on each of the first three (3) anniversaries of the grant date, subject to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 stock unit ("PSU")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February 27, 2026, the reporting person was granted 67,505 PSUs under the Plan, pursuant to the 2026 LTIP. The PSUs are subject to the achievement of performance conditions based on EBITDA, weighted at 100%, with annual reset over a three-year performance vesting period. Achievement at threshold results in a 50% payout opportunity, while achievement at maximum results in a 200% payout opportunity.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Two-thirds (2/3) of the stock options have vested in substantially equal installments on each of the first two (2) anniversaries of the grant date, with the remaining one-third (1/3) scheduled to vest on the third (3rd) anniversary of the grant date, February 14,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Vice President - Wellbore Optimization; On March 12, 2026, the reporting person filed a Form 4 which inadvertently reported that, following the vesting of restricted stock units ("RSUs"), he retained 15,000 shares of common stock. In fact, as reported in this amendment, 4,448 shares were withheld by Drilling Tools International Corp (the "Company") to pay for taxes. The corrected amount is reflected in this amendment.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Trent Pope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0524" TargetMode="External"/><Relationship Id="rId5" Type="http://schemas.openxmlformats.org/officeDocument/2006/relationships/hyperlink" Target="http://www.sec.gov/cgi-bin/browse-edgar?action=getcompany&amp;CIK=00018845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892</Words>
  <Characters>4761</Characters>
  <CharactersWithSpaces>5547</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