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HICKS THOMAS O</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ind w:left="28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2200 ROSS AVENUE, SUITE 4600W</w:t>
            </w: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DALLAS</w:t>
            </w:r>
          </w:p>
        </w:tc>
        <w:tc>
          <w:tcPr>
            <w:tcW w:w="1080" w:type="dxa"/>
            <w:vAlign w:val="bottom"/>
          </w:tcPr>
          <w:p>
            <w:pPr>
              <w:ind w:left="280"/>
              <w:spacing w:after="0"/>
              <w:rPr>
                <w:sz w:val="20"/>
                <w:szCs w:val="20"/>
                <w:color w:val="auto"/>
              </w:rPr>
            </w:pPr>
            <w:r>
              <w:rPr>
                <w:rFonts w:ascii="Arial" w:cs="Arial" w:eastAsia="Arial" w:hAnsi="Arial"/>
                <w:sz w:val="18"/>
                <w:szCs w:val="18"/>
                <w:color w:val="0000FF"/>
              </w:rPr>
              <w:t>TX</w:t>
            </w:r>
          </w:p>
        </w:tc>
        <w:tc>
          <w:tcPr>
            <w:tcW w:w="1600" w:type="dxa"/>
            <w:vAlign w:val="bottom"/>
          </w:tcPr>
          <w:p>
            <w:pPr>
              <w:ind w:left="420"/>
              <w:spacing w:after="0"/>
              <w:rPr>
                <w:sz w:val="20"/>
                <w:szCs w:val="20"/>
                <w:color w:val="auto"/>
              </w:rPr>
            </w:pPr>
            <w:r>
              <w:rPr>
                <w:rFonts w:ascii="Arial" w:cs="Arial" w:eastAsia="Arial" w:hAnsi="Arial"/>
                <w:sz w:val="18"/>
                <w:szCs w:val="18"/>
                <w:color w:val="0000FF"/>
              </w:rPr>
              <w:t>75201</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8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Drilling Tools International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DTI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940" w:type="dxa"/>
            <w:vAlign w:val="bottom"/>
            <w:gridSpan w:val="3"/>
          </w:tcPr>
          <w:p>
            <w:pPr>
              <w:ind w:left="80"/>
              <w:spacing w:after="0"/>
              <w:rPr>
                <w:sz w:val="20"/>
                <w:szCs w:val="20"/>
                <w:color w:val="auto"/>
              </w:rPr>
            </w:pPr>
            <w:r>
              <w:rPr>
                <w:rFonts w:ascii="Arial" w:cs="Arial" w:eastAsia="Arial" w:hAnsi="Arial"/>
                <w:sz w:val="18"/>
                <w:szCs w:val="18"/>
                <w:color w:val="0000FF"/>
              </w:rPr>
              <w:t>06/20/2023</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jc w:val="center"/>
              <w:ind w:right="18"/>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38"/>
              <w:spacing w:after="0" w:line="136"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6" w:lineRule="exact"/>
              <w:rPr>
                <w:sz w:val="20"/>
                <w:szCs w:val="20"/>
                <w:color w:val="auto"/>
              </w:rPr>
            </w:pPr>
            <w:r>
              <w:rPr>
                <w:rFonts w:ascii="Arial" w:cs="Arial" w:eastAsia="Arial" w:hAnsi="Arial"/>
                <w:sz w:val="12"/>
                <w:szCs w:val="12"/>
                <w:b w:val="1"/>
                <w:bCs w:val="1"/>
                <w:color w:val="auto"/>
                <w:w w:val="93"/>
              </w:rPr>
              <w:t>(D) or</w:t>
            </w:r>
          </w:p>
        </w:tc>
        <w:tc>
          <w:tcPr>
            <w:tcW w:w="540" w:type="dxa"/>
            <w:vAlign w:val="bottom"/>
          </w:tcPr>
          <w:p>
            <w:pPr>
              <w:spacing w:after="0"/>
              <w:rPr>
                <w:sz w:val="11"/>
                <w:szCs w:val="11"/>
                <w:color w:val="auto"/>
              </w:rPr>
            </w:pPr>
          </w:p>
        </w:tc>
        <w:tc>
          <w:tcPr>
            <w:tcW w:w="108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4"/>
                <w:szCs w:val="14"/>
                <w:color w:val="auto"/>
              </w:rPr>
            </w:pP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92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0000FF"/>
                <w:w w:val="86"/>
              </w:rPr>
              <w:t>06/20/2023</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A</w:t>
            </w:r>
          </w:p>
        </w:tc>
        <w:tc>
          <w:tcPr>
            <w:tcW w:w="920" w:type="dxa"/>
            <w:vAlign w:val="bottom"/>
          </w:tcPr>
          <w:p>
            <w:pPr>
              <w:ind w:left="180"/>
              <w:spacing w:after="0"/>
              <w:rPr>
                <w:sz w:val="20"/>
                <w:szCs w:val="20"/>
                <w:color w:val="auto"/>
              </w:rPr>
            </w:pPr>
            <w:r>
              <w:rPr>
                <w:rFonts w:ascii="Arial" w:cs="Arial" w:eastAsia="Arial" w:hAnsi="Arial"/>
                <w:sz w:val="18"/>
                <w:szCs w:val="18"/>
                <w:color w:val="0000FF"/>
              </w:rPr>
              <w:t>695,181</w:t>
            </w:r>
          </w:p>
        </w:tc>
        <w:tc>
          <w:tcPr>
            <w:tcW w:w="420" w:type="dxa"/>
            <w:vAlign w:val="bottom"/>
          </w:tcPr>
          <w:p>
            <w:pPr>
              <w:ind w:left="180"/>
              <w:spacing w:after="0"/>
              <w:rPr>
                <w:sz w:val="20"/>
                <w:szCs w:val="20"/>
                <w:color w:val="auto"/>
              </w:rPr>
            </w:pPr>
            <w:r>
              <w:rPr>
                <w:rFonts w:ascii="Arial" w:cs="Arial" w:eastAsia="Arial" w:hAnsi="Arial"/>
                <w:sz w:val="18"/>
                <w:szCs w:val="18"/>
                <w:color w:val="0000FF"/>
              </w:rPr>
              <w:t>A</w:t>
            </w:r>
          </w:p>
        </w:tc>
        <w:tc>
          <w:tcPr>
            <w:tcW w:w="540" w:type="dxa"/>
            <w:vAlign w:val="bottom"/>
          </w:tcPr>
          <w:p>
            <w:pPr>
              <w:ind w:left="220"/>
              <w:spacing w:after="0"/>
              <w:rPr>
                <w:sz w:val="20"/>
                <w:szCs w:val="20"/>
                <w:color w:val="auto"/>
              </w:rPr>
            </w:pPr>
            <w:r>
              <w:rPr>
                <w:rFonts w:ascii="Arial" w:cs="Arial" w:eastAsia="Arial" w:hAnsi="Arial"/>
                <w:sz w:val="11"/>
                <w:szCs w:val="11"/>
                <w:color w:val="008000"/>
              </w:rPr>
              <w:t>(1)(2)</w:t>
            </w:r>
          </w:p>
        </w:tc>
        <w:tc>
          <w:tcPr>
            <w:tcW w:w="1280" w:type="dxa"/>
            <w:vAlign w:val="bottom"/>
            <w:gridSpan w:val="3"/>
          </w:tcPr>
          <w:p>
            <w:pPr>
              <w:jc w:val="right"/>
              <w:ind w:right="279"/>
              <w:spacing w:after="0"/>
              <w:rPr>
                <w:sz w:val="20"/>
                <w:szCs w:val="20"/>
                <w:color w:val="auto"/>
              </w:rPr>
            </w:pPr>
            <w:r>
              <w:rPr>
                <w:rFonts w:ascii="Arial" w:cs="Arial" w:eastAsia="Arial" w:hAnsi="Arial"/>
                <w:sz w:val="18"/>
                <w:szCs w:val="18"/>
                <w:color w:val="0000FF"/>
              </w:rPr>
              <w:t>695,181</w:t>
            </w:r>
          </w:p>
        </w:tc>
        <w:tc>
          <w:tcPr>
            <w:tcW w:w="3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8"/>
                <w:szCs w:val="18"/>
                <w:color w:val="0000FF"/>
              </w:rPr>
              <w:t>By HHEP-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0000FF"/>
                <w:w w:val="86"/>
              </w:rPr>
              <w:t>06/20/2023</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A</w:t>
            </w:r>
          </w:p>
        </w:tc>
        <w:tc>
          <w:tcPr>
            <w:tcW w:w="920" w:type="dxa"/>
            <w:vAlign w:val="bottom"/>
          </w:tcPr>
          <w:p>
            <w:pPr>
              <w:ind w:left="80"/>
              <w:spacing w:after="0"/>
              <w:rPr>
                <w:sz w:val="20"/>
                <w:szCs w:val="20"/>
                <w:color w:val="auto"/>
              </w:rPr>
            </w:pPr>
            <w:r>
              <w:rPr>
                <w:rFonts w:ascii="Arial" w:cs="Arial" w:eastAsia="Arial" w:hAnsi="Arial"/>
                <w:sz w:val="18"/>
                <w:szCs w:val="18"/>
                <w:color w:val="0000FF"/>
                <w:w w:val="90"/>
              </w:rPr>
              <w:t>15,928,111</w:t>
            </w:r>
          </w:p>
        </w:tc>
        <w:tc>
          <w:tcPr>
            <w:tcW w:w="420" w:type="dxa"/>
            <w:vAlign w:val="bottom"/>
          </w:tcPr>
          <w:p>
            <w:pPr>
              <w:ind w:left="180"/>
              <w:spacing w:after="0"/>
              <w:rPr>
                <w:sz w:val="20"/>
                <w:szCs w:val="20"/>
                <w:color w:val="auto"/>
              </w:rPr>
            </w:pPr>
            <w:r>
              <w:rPr>
                <w:rFonts w:ascii="Arial" w:cs="Arial" w:eastAsia="Arial" w:hAnsi="Arial"/>
                <w:sz w:val="18"/>
                <w:szCs w:val="18"/>
                <w:color w:val="0000FF"/>
              </w:rPr>
              <w:t>A</w:t>
            </w:r>
          </w:p>
        </w:tc>
        <w:tc>
          <w:tcPr>
            <w:tcW w:w="540" w:type="dxa"/>
            <w:vAlign w:val="bottom"/>
          </w:tcPr>
          <w:p>
            <w:pPr>
              <w:ind w:left="220"/>
              <w:spacing w:after="0"/>
              <w:rPr>
                <w:sz w:val="20"/>
                <w:szCs w:val="20"/>
                <w:color w:val="auto"/>
              </w:rPr>
            </w:pPr>
            <w:r>
              <w:rPr>
                <w:rFonts w:ascii="Arial" w:cs="Arial" w:eastAsia="Arial" w:hAnsi="Arial"/>
                <w:sz w:val="11"/>
                <w:szCs w:val="11"/>
                <w:color w:val="008000"/>
              </w:rPr>
              <w:t>(1)(2)</w:t>
            </w:r>
          </w:p>
        </w:tc>
        <w:tc>
          <w:tcPr>
            <w:tcW w:w="1280" w:type="dxa"/>
            <w:vAlign w:val="bottom"/>
            <w:gridSpan w:val="3"/>
          </w:tcPr>
          <w:p>
            <w:pPr>
              <w:jc w:val="right"/>
              <w:ind w:right="179"/>
              <w:spacing w:after="0"/>
              <w:rPr>
                <w:sz w:val="20"/>
                <w:szCs w:val="20"/>
                <w:color w:val="auto"/>
              </w:rPr>
            </w:pPr>
            <w:r>
              <w:rPr>
                <w:rFonts w:ascii="Arial" w:cs="Arial" w:eastAsia="Arial" w:hAnsi="Arial"/>
                <w:sz w:val="18"/>
                <w:szCs w:val="18"/>
                <w:color w:val="0000FF"/>
              </w:rPr>
              <w:t>15,928,111</w:t>
            </w:r>
          </w:p>
        </w:tc>
        <w:tc>
          <w:tcPr>
            <w:tcW w:w="3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80" w:type="dxa"/>
            <w:vAlign w:val="bottom"/>
            <w:gridSpan w:val="4"/>
          </w:tcPr>
          <w:p>
            <w:pPr>
              <w:ind w:left="6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3"/>
          </w:tcPr>
          <w:p>
            <w:pPr>
              <w:jc w:val="center"/>
              <w:ind w:left="3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jc w:val="center"/>
              <w:ind w:right="16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8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8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Acquired</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78"/>
              <w:spacing w:after="0" w:line="136" w:lineRule="exact"/>
              <w:rPr>
                <w:sz w:val="20"/>
                <w:szCs w:val="20"/>
                <w:color w:val="auto"/>
              </w:rPr>
            </w:pPr>
            <w:r>
              <w:rPr>
                <w:rFonts w:ascii="Arial" w:cs="Arial" w:eastAsia="Arial" w:hAnsi="Arial"/>
                <w:sz w:val="12"/>
                <w:szCs w:val="12"/>
                <w:b w:val="1"/>
                <w:bCs w:val="1"/>
                <w:color w:val="auto"/>
                <w:w w:val="99"/>
              </w:rPr>
              <w:t>Date</w:t>
            </w:r>
          </w:p>
        </w:tc>
        <w:tc>
          <w:tcPr>
            <w:tcW w:w="92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68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Issuer's business combination (the "Business Combination") with Drilling Tools International Holdings, Inc. ("Legacy DTI") in accordance with the terms of the Agreement and Plan of Merger dated as of February 13, 2023 and amended as of June 5, 2023 (the "Merger Agreement"), by and among the Issuer (f/k/a ROC Energy Acquisition Corp.), ROC Merger Sub, Inc. ("Merger Sub") and Legacy DTI. Pursuant to the terms of the Merger Agreement, each outstanding share of Legacy DTI (i) common stock was converted into the right to receive 0.2282 shares of common stock of the Issuer ("Common Stock") and (ii) preferred stock was converted into the right to receive 0.3299 shares of Common Stock and $0.54 in cash (the "Preferred Cash Consideration"). The Business Combination closed on June 20, 2023 (the "Closing Date").</w:t>
      </w:r>
    </w:p>
    <w:p>
      <w:pPr>
        <w:spacing w:after="0" w:line="12" w:lineRule="exact"/>
        <w:rPr>
          <w:rFonts w:ascii="Arial" w:cs="Arial" w:eastAsia="Arial" w:hAnsi="Arial"/>
          <w:sz w:val="12"/>
          <w:szCs w:val="12"/>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(Continued from Footnote 1) Pursuant to the terms of an Exchange Agreement by and between ROC Energy Holdings, LLC, a Delaware limited liability company, Merger Sub, Legacy DTI and Mr. Hicks, Mr. Hicks elected to exchange the $109,321 of Preferred Cash Consideration he was entitled to receive pursuant to the Merger Agreement into 20,663 shares of Common Stock, which are included in the reported amount.</w:t>
      </w:r>
    </w:p>
    <w:p>
      <w:pPr>
        <w:spacing w:after="0" w:line="31" w:lineRule="exact"/>
        <w:rPr>
          <w:rFonts w:ascii="Arial" w:cs="Arial" w:eastAsia="Arial" w:hAnsi="Arial"/>
          <w:sz w:val="14"/>
          <w:szCs w:val="14"/>
          <w:color w:val="008000"/>
        </w:rPr>
      </w:pPr>
    </w:p>
    <w:p>
      <w:pPr>
        <w:ind w:left="40" w:right="1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may be deemed to have voting power and dispositive power over the shares held by HHEP-Directional, L.P. Mr. Hicks is the sole member of HH Directional LLC, which is the general partner of HHEP Directional GP, L.P., which is in turn the general partner of HHEP-Directional, L.P. Mr. Hicks disclaims any beneficial ownership of any shares of Common Stock held by HHEP-Directional, L.P., other than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Thomas O. Hicks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06/28/2023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38201" TargetMode="External"/><Relationship Id="rId13" Type="http://schemas.openxmlformats.org/officeDocument/2006/relationships/hyperlink" Target="http://www.sec.gov/cgi-bin/browse-edgar?action=getcompany&amp;CIK=00018845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2023-06-28T11:11:35Z</dcterms:created>
  <dcterms:modified xsi:type="dcterms:W3CDTF">2023-06-28T11:11:35Z</dcterms:modified>
</cp:coreProperties>
</file>