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2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7046595" cy="62718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6271895"/>
                    </a:xfrm>
                    <a:prstGeom prst="rect">
                      <a:avLst/>
                    </a:prstGeom>
                    <a:noFill/>
                  </pic:spPr>
                </pic:pic>
              </a:graphicData>
            </a:graphic>
          </wp:anchor>
        </w:drawing>
      </w:r>
    </w:p>
    <w:p>
      <w:pPr>
        <w:spacing w:after="0" w:line="1237" w:lineRule="exact"/>
        <w:rPr>
          <w:sz w:val="24"/>
          <w:szCs w:val="24"/>
          <w:color w:val="auto"/>
        </w:rPr>
      </w:pPr>
    </w:p>
    <w:p>
      <w:pPr>
        <w:sectPr>
          <w:pgSz w:w="11900" w:h="16900" w:orient="portrait"/>
          <w:cols w:equalWidth="0" w:num="2">
            <w:col w:w="2320" w:space="260"/>
            <w:col w:w="8500"/>
          </w:cols>
          <w:pgMar w:left="460" w:top="217" w:right="35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Domino Michael Wayne Jr.</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right="40"/>
        <w:spacing w:after="0" w:line="380" w:lineRule="auto"/>
        <w:rPr>
          <w:sz w:val="20"/>
          <w:szCs w:val="20"/>
          <w:color w:val="auto"/>
        </w:rPr>
      </w:pPr>
      <w:r>
        <w:rPr>
          <w:rFonts w:ascii="Times New Roman" w:cs="Times New Roman" w:eastAsia="Times New Roman" w:hAnsi="Times New Roman"/>
          <w:sz w:val="16"/>
          <w:szCs w:val="16"/>
          <w:color w:val="0000FF"/>
        </w:rPr>
        <w:t>C/O DRILLING TOOLS INTERNATIONAL CORP. 10370 RICHMOND AVENUE, SUITE 1000</w:t>
      </w:r>
    </w:p>
    <w:p>
      <w:pPr>
        <w:spacing w:after="0" w:line="153"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HOUSTON</w:t>
            </w:r>
          </w:p>
        </w:tc>
        <w:tc>
          <w:tcPr>
            <w:tcW w:w="10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77042</w:t>
            </w:r>
          </w:p>
        </w:tc>
      </w:tr>
      <w:tr>
        <w:trPr>
          <w:trHeight w:val="149"/>
        </w:trPr>
        <w:tc>
          <w:tcPr>
            <w:tcW w:w="20" w:type="dxa"/>
            <w:vAlign w:val="bottom"/>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3820" w:type="dxa"/>
            <w:vAlign w:val="bottom"/>
            <w:gridSpan w:val="4"/>
          </w:tcPr>
          <w:p>
            <w:pPr>
              <w:ind w:left="60"/>
              <w:spacing w:after="0" w:line="141" w:lineRule="exact"/>
              <w:rPr>
                <w:rFonts w:ascii="Times New Roman" w:cs="Times New Roman" w:eastAsia="Times New Roman" w:hAnsi="Times New Roman"/>
                <w:sz w:val="15"/>
                <w:szCs w:val="15"/>
                <w:color w:val="0000EE"/>
              </w:rPr>
            </w:pPr>
            <w:hyperlink r:id="rId14">
              <w:r>
                <w:rPr>
                  <w:rFonts w:ascii="Times New Roman" w:cs="Times New Roman" w:eastAsia="Times New Roman" w:hAnsi="Times New Roman"/>
                  <w:sz w:val="15"/>
                  <w:szCs w:val="15"/>
                  <w:color w:val="0000EE"/>
                </w:rPr>
                <w:t xml:space="preserve">Drilling Tools International Corp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DTI</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620" w:type="dxa"/>
            <w:vAlign w:val="bottom"/>
            <w:tcBorders>
              <w:bottom w:val="single" w:sz="8" w:color="0000EE"/>
            </w:tcBorders>
          </w:tcPr>
          <w:p>
            <w:pPr>
              <w:spacing w:after="0"/>
              <w:rPr>
                <w:sz w:val="3"/>
                <w:szCs w:val="3"/>
                <w:color w:val="auto"/>
              </w:rPr>
            </w:pPr>
          </w:p>
        </w:tc>
        <w:tc>
          <w:tcPr>
            <w:tcW w:w="10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42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tcPr>
          <w:p>
            <w:pPr>
              <w:ind w:left="42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1"/>
        </w:trPr>
        <w:tc>
          <w:tcPr>
            <w:tcW w:w="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62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vMerge w:val="restart"/>
          </w:tcPr>
          <w:p>
            <w:pPr>
              <w:ind w:left="420"/>
              <w:spacing w:after="0"/>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17"/>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180" w:type="dxa"/>
            <w:vAlign w:val="bottom"/>
            <w:gridSpan w:val="2"/>
            <w:vMerge w:val="continue"/>
          </w:tcPr>
          <w:p>
            <w:pPr>
              <w:spacing w:after="0"/>
              <w:rPr>
                <w:sz w:val="5"/>
                <w:szCs w:val="5"/>
                <w:color w:val="auto"/>
              </w:rPr>
            </w:pPr>
          </w:p>
        </w:tc>
        <w:tc>
          <w:tcPr>
            <w:tcW w:w="36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3120" w:type="dxa"/>
            <w:vAlign w:val="bottom"/>
            <w:gridSpan w:val="2"/>
            <w:vMerge w:val="restart"/>
          </w:tcPr>
          <w:p>
            <w:pPr>
              <w:ind w:left="640"/>
              <w:spacing w:after="0"/>
              <w:rPr>
                <w:sz w:val="20"/>
                <w:szCs w:val="20"/>
                <w:color w:val="auto"/>
              </w:rPr>
            </w:pPr>
            <w:r>
              <w:rPr>
                <w:rFonts w:ascii="Times New Roman" w:cs="Times New Roman" w:eastAsia="Times New Roman" w:hAnsi="Times New Roman"/>
                <w:sz w:val="17"/>
                <w:szCs w:val="17"/>
                <w:color w:val="0000FF"/>
              </w:rPr>
              <w:t>President, DTR Division</w:t>
            </w:r>
          </w:p>
        </w:tc>
        <w:tc>
          <w:tcPr>
            <w:tcW w:w="0" w:type="dxa"/>
            <w:vAlign w:val="bottom"/>
          </w:tcPr>
          <w:p>
            <w:pPr>
              <w:spacing w:after="0"/>
              <w:rPr>
                <w:sz w:val="1"/>
                <w:szCs w:val="1"/>
                <w:color w:val="auto"/>
              </w:rPr>
            </w:pPr>
          </w:p>
        </w:tc>
      </w:tr>
      <w:tr>
        <w:trPr>
          <w:trHeight w:val="218"/>
        </w:trPr>
        <w:tc>
          <w:tcPr>
            <w:tcW w:w="28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06/15/2026</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7"/>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6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93" w:lineRule="exact"/>
        <w:rPr>
          <w:sz w:val="24"/>
          <w:szCs w:val="24"/>
          <w:color w:val="auto"/>
        </w:rPr>
      </w:pPr>
    </w:p>
    <w:p>
      <w:pPr>
        <w:sectPr>
          <w:pgSz w:w="11900" w:h="16900" w:orient="portrait"/>
          <w:cols w:equalWidth="0" w:num="2">
            <w:col w:w="3740" w:space="100"/>
            <w:col w:w="724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gridSpan w:val="2"/>
          </w:tcPr>
          <w:p>
            <w:pPr>
              <w:ind w:left="6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8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ind w:left="640"/>
              <w:spacing w:after="0" w:line="128"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94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80" w:type="dxa"/>
            <w:vAlign w:val="bottom"/>
            <w:gridSpan w:val="2"/>
          </w:tcPr>
          <w:p>
            <w:pPr>
              <w:ind w:left="640"/>
              <w:spacing w:after="0" w:line="129" w:lineRule="exact"/>
              <w:rPr>
                <w:sz w:val="20"/>
                <w:szCs w:val="20"/>
                <w:color w:val="auto"/>
              </w:rPr>
            </w:pPr>
            <w:r>
              <w:rPr>
                <w:rFonts w:ascii="Arial" w:cs="Arial" w:eastAsia="Arial" w:hAnsi="Arial"/>
                <w:sz w:val="12"/>
                <w:szCs w:val="12"/>
                <w:b w:val="1"/>
                <w:bCs w:val="1"/>
                <w:color w:val="auto"/>
              </w:rPr>
              <w:t>(Month/Day/Year)</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70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2"/>
          </w:tcPr>
          <w:p>
            <w:pPr>
              <w:ind w:left="740"/>
              <w:spacing w:after="0"/>
              <w:rPr>
                <w:sz w:val="20"/>
                <w:szCs w:val="20"/>
                <w:color w:val="auto"/>
              </w:rPr>
            </w:pPr>
            <w:r>
              <w:rPr>
                <w:rFonts w:ascii="Times New Roman" w:cs="Times New Roman" w:eastAsia="Times New Roman" w:hAnsi="Times New Roman"/>
                <w:sz w:val="17"/>
                <w:szCs w:val="17"/>
                <w:color w:val="0000FF"/>
              </w:rPr>
              <w:t>06/15/2026</w:t>
            </w:r>
          </w:p>
        </w:tc>
        <w:tc>
          <w:tcPr>
            <w:tcW w:w="2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right"/>
              <w:ind w:right="263"/>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1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w w:val="99"/>
              </w:rPr>
              <w:t>2,083</w:t>
            </w:r>
          </w:p>
        </w:tc>
        <w:tc>
          <w:tcPr>
            <w:tcW w:w="6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ind w:left="18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2.56</w:t>
            </w:r>
          </w:p>
        </w:tc>
        <w:tc>
          <w:tcPr>
            <w:tcW w:w="1300" w:type="dxa"/>
            <w:vAlign w:val="bottom"/>
            <w:tcBorders>
              <w:bottom w:val="single" w:sz="8" w:color="2C2C2C"/>
            </w:tcBorders>
            <w:gridSpan w:val="3"/>
          </w:tcPr>
          <w:p>
            <w:pPr>
              <w:ind w:left="340"/>
              <w:spacing w:after="0"/>
              <w:rPr>
                <w:sz w:val="20"/>
                <w:szCs w:val="20"/>
                <w:color w:val="auto"/>
              </w:rPr>
            </w:pPr>
            <w:r>
              <w:rPr>
                <w:rFonts w:ascii="Times New Roman" w:cs="Times New Roman" w:eastAsia="Times New Roman" w:hAnsi="Times New Roman"/>
                <w:sz w:val="17"/>
                <w:szCs w:val="17"/>
                <w:color w:val="0000FF"/>
              </w:rPr>
              <w:t>1,439,584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7140" w:type="dxa"/>
            <w:vAlign w:val="bottom"/>
            <w:tcBorders>
              <w:top w:val="single" w:sz="8" w:color="2C2C2C"/>
            </w:tcBorders>
            <w:gridSpan w:val="14"/>
          </w:tcPr>
          <w:p>
            <w:pPr>
              <w:ind w:left="9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340" w:type="dxa"/>
            <w:vAlign w:val="bottom"/>
            <w:gridSpan w:val="11"/>
          </w:tcPr>
          <w:p>
            <w:pPr>
              <w:jc w:val="right"/>
              <w:ind w:right="1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520" w:type="dxa"/>
            <w:vAlign w:val="bottom"/>
            <w:tcBorders>
              <w:bottom w:val="single" w:sz="8" w:color="2C2C2C"/>
            </w:tcBorders>
            <w:gridSpan w:val="4"/>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w w:val="97"/>
              </w:rPr>
              <w:t>Expiration Date</w:t>
            </w:r>
          </w:p>
        </w:tc>
        <w:tc>
          <w:tcPr>
            <w:tcW w:w="60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jc w:val="center"/>
              <w:ind w:right="1"/>
              <w:spacing w:after="0" w:line="129" w:lineRule="exact"/>
              <w:rPr>
                <w:sz w:val="20"/>
                <w:szCs w:val="20"/>
                <w:color w:val="auto"/>
              </w:rPr>
            </w:pPr>
            <w:r>
              <w:rPr>
                <w:rFonts w:ascii="Arial" w:cs="Arial" w:eastAsia="Arial" w:hAnsi="Arial"/>
                <w:sz w:val="12"/>
                <w:szCs w:val="12"/>
                <w:b w:val="1"/>
                <w:bCs w:val="1"/>
                <w:color w:val="auto"/>
                <w:w w:val="98"/>
              </w:rPr>
              <w:t>Expiration</w:t>
            </w:r>
          </w:p>
        </w:tc>
        <w:tc>
          <w:tcPr>
            <w:tcW w:w="620" w:type="dxa"/>
            <w:vAlign w:val="bottom"/>
          </w:tcPr>
          <w:p>
            <w:pPr>
              <w:spacing w:after="0"/>
              <w:rPr>
                <w:sz w:val="11"/>
                <w:szCs w:val="11"/>
                <w:color w:val="auto"/>
              </w:rPr>
            </w:pPr>
          </w:p>
        </w:tc>
        <w:tc>
          <w:tcPr>
            <w:tcW w:w="5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gridSpan w:val="2"/>
            <w:vMerge w:val="restart"/>
          </w:tcPr>
          <w:p>
            <w:pPr>
              <w:jc w:val="right"/>
              <w:ind w:right="283"/>
              <w:spacing w:after="0"/>
              <w:rPr>
                <w:sz w:val="20"/>
                <w:szCs w:val="20"/>
                <w:color w:val="auto"/>
              </w:rPr>
            </w:pPr>
            <w:r>
              <w:rPr>
                <w:rFonts w:ascii="Times New Roman" w:cs="Times New Roman" w:eastAsia="Times New Roman" w:hAnsi="Times New Roman"/>
                <w:sz w:val="11"/>
                <w:szCs w:val="11"/>
                <w:color w:val="008000"/>
              </w:rPr>
              <w:t>(3)</w:t>
            </w:r>
          </w:p>
        </w:tc>
        <w:tc>
          <w:tcPr>
            <w:tcW w:w="160" w:type="dxa"/>
            <w:vAlign w:val="bottom"/>
          </w:tcPr>
          <w:p>
            <w:pPr>
              <w:spacing w:after="0"/>
              <w:rPr>
                <w:sz w:val="15"/>
                <w:szCs w:val="15"/>
                <w:color w:val="auto"/>
              </w:rPr>
            </w:pPr>
          </w:p>
        </w:tc>
        <w:tc>
          <w:tcPr>
            <w:tcW w:w="600" w:type="dxa"/>
            <w:vAlign w:val="bottom"/>
            <w:vMerge w:val="restart"/>
          </w:tcPr>
          <w:p>
            <w:pPr>
              <w:jc w:val="center"/>
              <w:ind w:right="141"/>
              <w:spacing w:after="0"/>
              <w:rPr>
                <w:sz w:val="20"/>
                <w:szCs w:val="20"/>
                <w:color w:val="auto"/>
              </w:rPr>
            </w:pPr>
            <w:r>
              <w:rPr>
                <w:rFonts w:ascii="Times New Roman" w:cs="Times New Roman" w:eastAsia="Times New Roman" w:hAnsi="Times New Roman"/>
                <w:sz w:val="11"/>
                <w:szCs w:val="11"/>
                <w:color w:val="008000"/>
                <w:w w:val="93"/>
              </w:rPr>
              <w:t>(3)</w:t>
            </w:r>
          </w:p>
        </w:tc>
        <w:tc>
          <w:tcPr>
            <w:tcW w:w="6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80"/>
              <w:spacing w:after="0"/>
              <w:rPr>
                <w:sz w:val="20"/>
                <w:szCs w:val="20"/>
                <w:color w:val="auto"/>
              </w:rPr>
            </w:pPr>
            <w:r>
              <w:rPr>
                <w:rFonts w:ascii="Times New Roman" w:cs="Times New Roman" w:eastAsia="Times New Roman" w:hAnsi="Times New Roman"/>
                <w:sz w:val="11"/>
                <w:szCs w:val="11"/>
                <w:color w:val="008000"/>
              </w:rPr>
              <w:t>(3)</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vMerge w:val="restart"/>
          </w:tcPr>
          <w:p>
            <w:pPr>
              <w:jc w:val="center"/>
              <w:ind w:left="160"/>
              <w:spacing w:after="0"/>
              <w:rPr>
                <w:sz w:val="20"/>
                <w:szCs w:val="20"/>
                <w:color w:val="auto"/>
              </w:rPr>
            </w:pPr>
            <w:r>
              <w:rPr>
                <w:rFonts w:ascii="Times New Roman" w:cs="Times New Roman" w:eastAsia="Times New Roman" w:hAnsi="Times New Roman"/>
                <w:sz w:val="13"/>
                <w:szCs w:val="13"/>
                <w:color w:val="0000FF"/>
                <w:w w:val="94"/>
              </w:rPr>
              <w:t>75,829</w:t>
            </w:r>
          </w:p>
        </w:tc>
        <w:tc>
          <w:tcPr>
            <w:tcW w:w="280" w:type="dxa"/>
            <w:vAlign w:val="bottom"/>
          </w:tcPr>
          <w:p>
            <w:pPr>
              <w:spacing w:after="0"/>
              <w:rPr>
                <w:sz w:val="15"/>
                <w:szCs w:val="15"/>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60" w:type="dxa"/>
            <w:vAlign w:val="bottom"/>
            <w:vMerge w:val="continue"/>
          </w:tcPr>
          <w:p>
            <w:pPr>
              <w:spacing w:after="0"/>
              <w:rPr>
                <w:sz w:val="7"/>
                <w:szCs w:val="7"/>
                <w:color w:val="auto"/>
              </w:rPr>
            </w:pPr>
          </w:p>
        </w:tc>
        <w:tc>
          <w:tcPr>
            <w:tcW w:w="1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gridSpan w:val="2"/>
            <w:vMerge w:val="restart"/>
          </w:tcPr>
          <w:p>
            <w:pPr>
              <w:jc w:val="right"/>
              <w:ind w:right="283"/>
              <w:spacing w:after="0"/>
              <w:rPr>
                <w:sz w:val="20"/>
                <w:szCs w:val="20"/>
                <w:color w:val="auto"/>
              </w:rPr>
            </w:pPr>
            <w:r>
              <w:rPr>
                <w:rFonts w:ascii="Times New Roman" w:cs="Times New Roman" w:eastAsia="Times New Roman" w:hAnsi="Times New Roman"/>
                <w:sz w:val="11"/>
                <w:szCs w:val="11"/>
                <w:color w:val="008000"/>
              </w:rPr>
              <w:t>(4)</w:t>
            </w:r>
          </w:p>
        </w:tc>
        <w:tc>
          <w:tcPr>
            <w:tcW w:w="160" w:type="dxa"/>
            <w:vAlign w:val="bottom"/>
          </w:tcPr>
          <w:p>
            <w:pPr>
              <w:spacing w:after="0"/>
              <w:rPr>
                <w:sz w:val="15"/>
                <w:szCs w:val="15"/>
                <w:color w:val="auto"/>
              </w:rPr>
            </w:pPr>
          </w:p>
        </w:tc>
        <w:tc>
          <w:tcPr>
            <w:tcW w:w="600" w:type="dxa"/>
            <w:vAlign w:val="bottom"/>
            <w:vMerge w:val="restart"/>
          </w:tcPr>
          <w:p>
            <w:pPr>
              <w:jc w:val="center"/>
              <w:ind w:right="141"/>
              <w:spacing w:after="0"/>
              <w:rPr>
                <w:sz w:val="20"/>
                <w:szCs w:val="20"/>
                <w:color w:val="auto"/>
              </w:rPr>
            </w:pPr>
            <w:r>
              <w:rPr>
                <w:rFonts w:ascii="Times New Roman" w:cs="Times New Roman" w:eastAsia="Times New Roman" w:hAnsi="Times New Roman"/>
                <w:sz w:val="11"/>
                <w:szCs w:val="11"/>
                <w:color w:val="008000"/>
                <w:w w:val="93"/>
              </w:rPr>
              <w:t>(4)</w:t>
            </w:r>
          </w:p>
        </w:tc>
        <w:tc>
          <w:tcPr>
            <w:tcW w:w="6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80"/>
              <w:spacing w:after="0"/>
              <w:rPr>
                <w:sz w:val="20"/>
                <w:szCs w:val="20"/>
                <w:color w:val="auto"/>
              </w:rPr>
            </w:pPr>
            <w:r>
              <w:rPr>
                <w:rFonts w:ascii="Times New Roman" w:cs="Times New Roman" w:eastAsia="Times New Roman" w:hAnsi="Times New Roman"/>
                <w:sz w:val="11"/>
                <w:szCs w:val="11"/>
                <w:color w:val="008000"/>
              </w:rPr>
              <w:t>(4)</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vMerge w:val="restart"/>
          </w:tcPr>
          <w:p>
            <w:pPr>
              <w:jc w:val="center"/>
              <w:ind w:left="160"/>
              <w:spacing w:after="0"/>
              <w:rPr>
                <w:sz w:val="20"/>
                <w:szCs w:val="20"/>
                <w:color w:val="auto"/>
              </w:rPr>
            </w:pPr>
            <w:r>
              <w:rPr>
                <w:rFonts w:ascii="Times New Roman" w:cs="Times New Roman" w:eastAsia="Times New Roman" w:hAnsi="Times New Roman"/>
                <w:sz w:val="13"/>
                <w:szCs w:val="13"/>
                <w:color w:val="0000FF"/>
                <w:w w:val="94"/>
              </w:rPr>
              <w:t>22,859</w:t>
            </w:r>
          </w:p>
        </w:tc>
        <w:tc>
          <w:tcPr>
            <w:tcW w:w="280" w:type="dxa"/>
            <w:vAlign w:val="bottom"/>
          </w:tcPr>
          <w:p>
            <w:pPr>
              <w:spacing w:after="0"/>
              <w:rPr>
                <w:sz w:val="15"/>
                <w:szCs w:val="15"/>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60" w:type="dxa"/>
            <w:vAlign w:val="bottom"/>
            <w:vMerge w:val="continue"/>
          </w:tcPr>
          <w:p>
            <w:pPr>
              <w:spacing w:after="0"/>
              <w:rPr>
                <w:sz w:val="7"/>
                <w:szCs w:val="7"/>
                <w:color w:val="auto"/>
              </w:rPr>
            </w:pPr>
          </w:p>
        </w:tc>
        <w:tc>
          <w:tcPr>
            <w:tcW w:w="1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(5)</w:t>
            </w: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gridSpan w:val="2"/>
            <w:vMerge w:val="restart"/>
          </w:tcPr>
          <w:p>
            <w:pPr>
              <w:jc w:val="right"/>
              <w:ind w:right="283"/>
              <w:spacing w:after="0"/>
              <w:rPr>
                <w:sz w:val="20"/>
                <w:szCs w:val="20"/>
                <w:color w:val="auto"/>
              </w:rPr>
            </w:pPr>
            <w:r>
              <w:rPr>
                <w:rFonts w:ascii="Times New Roman" w:cs="Times New Roman" w:eastAsia="Times New Roman" w:hAnsi="Times New Roman"/>
                <w:sz w:val="11"/>
                <w:szCs w:val="11"/>
                <w:color w:val="008000"/>
              </w:rPr>
              <w:t>(6)</w:t>
            </w:r>
          </w:p>
        </w:tc>
        <w:tc>
          <w:tcPr>
            <w:tcW w:w="160" w:type="dxa"/>
            <w:vAlign w:val="bottom"/>
          </w:tcPr>
          <w:p>
            <w:pPr>
              <w:spacing w:after="0"/>
              <w:rPr>
                <w:sz w:val="15"/>
                <w:szCs w:val="15"/>
                <w:color w:val="auto"/>
              </w:rPr>
            </w:pPr>
          </w:p>
        </w:tc>
        <w:tc>
          <w:tcPr>
            <w:tcW w:w="600" w:type="dxa"/>
            <w:vAlign w:val="bottom"/>
            <w:vMerge w:val="restart"/>
          </w:tcPr>
          <w:p>
            <w:pPr>
              <w:jc w:val="center"/>
              <w:ind w:right="141"/>
              <w:spacing w:after="0"/>
              <w:rPr>
                <w:sz w:val="20"/>
                <w:szCs w:val="20"/>
                <w:color w:val="auto"/>
              </w:rPr>
            </w:pPr>
            <w:r>
              <w:rPr>
                <w:rFonts w:ascii="Times New Roman" w:cs="Times New Roman" w:eastAsia="Times New Roman" w:hAnsi="Times New Roman"/>
                <w:sz w:val="11"/>
                <w:szCs w:val="11"/>
                <w:color w:val="008000"/>
                <w:w w:val="93"/>
              </w:rPr>
              <w:t>(6)</w:t>
            </w:r>
          </w:p>
        </w:tc>
        <w:tc>
          <w:tcPr>
            <w:tcW w:w="6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80"/>
              <w:spacing w:after="0"/>
              <w:rPr>
                <w:sz w:val="20"/>
                <w:szCs w:val="20"/>
                <w:color w:val="auto"/>
              </w:rPr>
            </w:pPr>
            <w:r>
              <w:rPr>
                <w:rFonts w:ascii="Times New Roman" w:cs="Times New Roman" w:eastAsia="Times New Roman" w:hAnsi="Times New Roman"/>
                <w:sz w:val="11"/>
                <w:szCs w:val="11"/>
                <w:color w:val="008000"/>
              </w:rPr>
              <w:t>(6)</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vMerge w:val="restart"/>
          </w:tcPr>
          <w:p>
            <w:pPr>
              <w:jc w:val="center"/>
              <w:ind w:left="160"/>
              <w:spacing w:after="0"/>
              <w:rPr>
                <w:sz w:val="20"/>
                <w:szCs w:val="20"/>
                <w:color w:val="auto"/>
              </w:rPr>
            </w:pPr>
            <w:r>
              <w:rPr>
                <w:rFonts w:ascii="Times New Roman" w:cs="Times New Roman" w:eastAsia="Times New Roman" w:hAnsi="Times New Roman"/>
                <w:sz w:val="13"/>
                <w:szCs w:val="13"/>
                <w:color w:val="0000FF"/>
                <w:w w:val="94"/>
              </w:rPr>
              <w:t>68,577</w:t>
            </w:r>
          </w:p>
        </w:tc>
        <w:tc>
          <w:tcPr>
            <w:tcW w:w="280" w:type="dxa"/>
            <w:vAlign w:val="bottom"/>
          </w:tcPr>
          <w:p>
            <w:pPr>
              <w:spacing w:after="0"/>
              <w:rPr>
                <w:sz w:val="15"/>
                <w:szCs w:val="15"/>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60" w:type="dxa"/>
            <w:vAlign w:val="bottom"/>
            <w:vMerge w:val="continue"/>
          </w:tcPr>
          <w:p>
            <w:pPr>
              <w:spacing w:after="0"/>
              <w:rPr>
                <w:sz w:val="7"/>
                <w:szCs w:val="7"/>
                <w:color w:val="auto"/>
              </w:rPr>
            </w:pPr>
          </w:p>
        </w:tc>
        <w:tc>
          <w:tcPr>
            <w:tcW w:w="1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(7)</w:t>
            </w:r>
          </w:p>
        </w:tc>
        <w:tc>
          <w:tcPr>
            <w:tcW w:w="1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gridSpan w:val="2"/>
            <w:vMerge w:val="restart"/>
          </w:tcPr>
          <w:p>
            <w:pPr>
              <w:jc w:val="right"/>
              <w:ind w:right="283"/>
              <w:spacing w:after="0"/>
              <w:rPr>
                <w:sz w:val="20"/>
                <w:szCs w:val="20"/>
                <w:color w:val="auto"/>
              </w:rPr>
            </w:pPr>
            <w:r>
              <w:rPr>
                <w:rFonts w:ascii="Times New Roman" w:cs="Times New Roman" w:eastAsia="Times New Roman" w:hAnsi="Times New Roman"/>
                <w:sz w:val="11"/>
                <w:szCs w:val="11"/>
                <w:color w:val="008000"/>
              </w:rPr>
              <w:t>(7)</w:t>
            </w:r>
          </w:p>
        </w:tc>
        <w:tc>
          <w:tcPr>
            <w:tcW w:w="160" w:type="dxa"/>
            <w:vAlign w:val="bottom"/>
          </w:tcPr>
          <w:p>
            <w:pPr>
              <w:spacing w:after="0"/>
              <w:rPr>
                <w:sz w:val="12"/>
                <w:szCs w:val="12"/>
                <w:color w:val="auto"/>
              </w:rPr>
            </w:pPr>
          </w:p>
        </w:tc>
        <w:tc>
          <w:tcPr>
            <w:tcW w:w="600" w:type="dxa"/>
            <w:vAlign w:val="bottom"/>
            <w:vMerge w:val="restart"/>
          </w:tcPr>
          <w:p>
            <w:pPr>
              <w:jc w:val="center"/>
              <w:ind w:right="141"/>
              <w:spacing w:after="0"/>
              <w:rPr>
                <w:sz w:val="20"/>
                <w:szCs w:val="20"/>
                <w:color w:val="auto"/>
              </w:rPr>
            </w:pPr>
            <w:r>
              <w:rPr>
                <w:rFonts w:ascii="Times New Roman" w:cs="Times New Roman" w:eastAsia="Times New Roman" w:hAnsi="Times New Roman"/>
                <w:sz w:val="11"/>
                <w:szCs w:val="11"/>
                <w:color w:val="008000"/>
                <w:w w:val="93"/>
              </w:rPr>
              <w:t>(7)</w:t>
            </w:r>
          </w:p>
        </w:tc>
        <w:tc>
          <w:tcPr>
            <w:tcW w:w="62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80"/>
              <w:spacing w:after="0"/>
              <w:rPr>
                <w:sz w:val="20"/>
                <w:szCs w:val="20"/>
                <w:color w:val="auto"/>
              </w:rPr>
            </w:pPr>
            <w:r>
              <w:rPr>
                <w:rFonts w:ascii="Times New Roman" w:cs="Times New Roman" w:eastAsia="Times New Roman" w:hAnsi="Times New Roman"/>
                <w:sz w:val="11"/>
                <w:szCs w:val="11"/>
                <w:color w:val="008000"/>
              </w:rPr>
              <w:t>(7)</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80" w:type="dxa"/>
            <w:vAlign w:val="bottom"/>
            <w:gridSpan w:val="2"/>
            <w:vMerge w:val="restart"/>
          </w:tcPr>
          <w:p>
            <w:pPr>
              <w:jc w:val="center"/>
              <w:ind w:right="2"/>
              <w:spacing w:after="0"/>
              <w:rPr>
                <w:sz w:val="20"/>
                <w:szCs w:val="20"/>
                <w:color w:val="auto"/>
              </w:rPr>
            </w:pPr>
            <w:r>
              <w:rPr>
                <w:rFonts w:ascii="Times New Roman" w:cs="Times New Roman" w:eastAsia="Times New Roman" w:hAnsi="Times New Roman"/>
                <w:sz w:val="13"/>
                <w:szCs w:val="13"/>
                <w:color w:val="0000FF"/>
                <w:w w:val="99"/>
              </w:rPr>
              <w:t>300,000</w:t>
            </w: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7"/>
                <w:szCs w:val="7"/>
                <w:color w:val="auto"/>
              </w:rPr>
            </w:pPr>
          </w:p>
        </w:tc>
        <w:tc>
          <w:tcPr>
            <w:tcW w:w="1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vMerge w:val="restart"/>
          </w:tcPr>
          <w:p>
            <w:pPr>
              <w:ind w:left="12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(8)</w:t>
            </w:r>
          </w:p>
        </w:tc>
        <w:tc>
          <w:tcPr>
            <w:tcW w:w="1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gridSpan w:val="2"/>
            <w:vMerge w:val="restart"/>
          </w:tcPr>
          <w:p>
            <w:pPr>
              <w:jc w:val="right"/>
              <w:ind w:right="283"/>
              <w:spacing w:after="0"/>
              <w:rPr>
                <w:sz w:val="20"/>
                <w:szCs w:val="20"/>
                <w:color w:val="auto"/>
              </w:rPr>
            </w:pPr>
            <w:r>
              <w:rPr>
                <w:rFonts w:ascii="Times New Roman" w:cs="Times New Roman" w:eastAsia="Times New Roman" w:hAnsi="Times New Roman"/>
                <w:sz w:val="11"/>
                <w:szCs w:val="11"/>
                <w:color w:val="008000"/>
              </w:rPr>
              <w:t>(8)</w:t>
            </w:r>
          </w:p>
        </w:tc>
        <w:tc>
          <w:tcPr>
            <w:tcW w:w="160" w:type="dxa"/>
            <w:vAlign w:val="bottom"/>
          </w:tcPr>
          <w:p>
            <w:pPr>
              <w:spacing w:after="0"/>
              <w:rPr>
                <w:sz w:val="12"/>
                <w:szCs w:val="12"/>
                <w:color w:val="auto"/>
              </w:rPr>
            </w:pPr>
          </w:p>
        </w:tc>
        <w:tc>
          <w:tcPr>
            <w:tcW w:w="600" w:type="dxa"/>
            <w:vAlign w:val="bottom"/>
            <w:vMerge w:val="restart"/>
          </w:tcPr>
          <w:p>
            <w:pPr>
              <w:jc w:val="center"/>
              <w:ind w:right="141"/>
              <w:spacing w:after="0"/>
              <w:rPr>
                <w:sz w:val="20"/>
                <w:szCs w:val="20"/>
                <w:color w:val="auto"/>
              </w:rPr>
            </w:pPr>
            <w:r>
              <w:rPr>
                <w:rFonts w:ascii="Times New Roman" w:cs="Times New Roman" w:eastAsia="Times New Roman" w:hAnsi="Times New Roman"/>
                <w:sz w:val="11"/>
                <w:szCs w:val="11"/>
                <w:color w:val="008000"/>
                <w:w w:val="93"/>
              </w:rPr>
              <w:t>(8)</w:t>
            </w:r>
          </w:p>
        </w:tc>
        <w:tc>
          <w:tcPr>
            <w:tcW w:w="62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80"/>
              <w:spacing w:after="0"/>
              <w:rPr>
                <w:sz w:val="20"/>
                <w:szCs w:val="20"/>
                <w:color w:val="auto"/>
              </w:rPr>
            </w:pPr>
            <w:r>
              <w:rPr>
                <w:rFonts w:ascii="Times New Roman" w:cs="Times New Roman" w:eastAsia="Times New Roman" w:hAnsi="Times New Roman"/>
                <w:sz w:val="11"/>
                <w:szCs w:val="11"/>
                <w:color w:val="008000"/>
              </w:rPr>
              <w:t>(8)</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80" w:type="dxa"/>
            <w:vAlign w:val="bottom"/>
            <w:gridSpan w:val="2"/>
            <w:vMerge w:val="restart"/>
          </w:tcPr>
          <w:p>
            <w:pPr>
              <w:jc w:val="center"/>
              <w:ind w:right="2"/>
              <w:spacing w:after="0"/>
              <w:rPr>
                <w:sz w:val="20"/>
                <w:szCs w:val="20"/>
                <w:color w:val="auto"/>
              </w:rPr>
            </w:pPr>
            <w:r>
              <w:rPr>
                <w:rFonts w:ascii="Times New Roman" w:cs="Times New Roman" w:eastAsia="Times New Roman" w:hAnsi="Times New Roman"/>
                <w:sz w:val="13"/>
                <w:szCs w:val="13"/>
                <w:color w:val="0000FF"/>
                <w:w w:val="99"/>
              </w:rPr>
              <w:t>370,264</w:t>
            </w: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7"/>
                <w:szCs w:val="7"/>
                <w:color w:val="auto"/>
              </w:rPr>
            </w:pPr>
          </w:p>
        </w:tc>
        <w:tc>
          <w:tcPr>
            <w:tcW w:w="1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completed pursuant to a Rule 10b5-1 trading plan adopted by the reporting person on November 17, 2025.</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Drilling Tools International Corp's (the "Company") common stock.</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 in substantially equal installments on each of the first four (4) anniversaries of the grant date, February 28, 2025.</w:t>
      </w:r>
    </w:p>
    <w:p>
      <w:pPr>
        <w:spacing w:after="0" w:line="44" w:lineRule="exact"/>
        <w:rPr>
          <w:rFonts w:ascii="Times New Roman" w:cs="Times New Roman" w:eastAsia="Times New Roman" w:hAnsi="Times New Roman"/>
          <w:sz w:val="13"/>
          <w:szCs w:val="13"/>
          <w:color w:val="008000"/>
        </w:rPr>
      </w:pPr>
    </w:p>
    <w:p>
      <w:pPr>
        <w:ind w:left="40" w:right="280" w:firstLine="2"/>
        <w:spacing w:after="0" w:line="242"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27, 2026, the reporting person was granted 22,859 RSUs under the Company's 2023 Omnibus Incentive Plan, as may be amended from time to time (the "Plan"), pursuant to the 2026 long-term incentive program approved by the Board of Directors (the "2026 LTIP"). The RSUs vest in substantially equal installments on each of the first three (3) anniversaries of the grant date, subject to continued service.</w:t>
      </w:r>
    </w:p>
    <w:p>
      <w:pPr>
        <w:spacing w:after="0" w:line="25"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performance stock unit ("PSU") represents a contingent right to receive one share of the Company's common stock.</w:t>
      </w:r>
    </w:p>
    <w:p>
      <w:pPr>
        <w:spacing w:after="0" w:line="44" w:lineRule="exact"/>
        <w:rPr>
          <w:rFonts w:ascii="Times New Roman" w:cs="Times New Roman" w:eastAsia="Times New Roman" w:hAnsi="Times New Roman"/>
          <w:sz w:val="13"/>
          <w:szCs w:val="13"/>
          <w:color w:val="008000"/>
        </w:rPr>
      </w:pPr>
    </w:p>
    <w:p>
      <w:pPr>
        <w:jc w:val="both"/>
        <w:ind w:left="40" w:right="520" w:firstLine="2"/>
        <w:spacing w:after="0" w:line="242"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27, 2026, the reporting person was granted 68,577 PSUs under the Plan, pursuant to the 2026 LTIP. The PSUs are subject to the achievement of performance conditions based on EBITDA, weighted at 100%, with annual reset over a three-year performance vesting period. Achievement at threshold results in a 50% payout opportunity, while achievement at maximum results in a 200% payout opportunity.</w:t>
      </w:r>
    </w:p>
    <w:p>
      <w:pPr>
        <w:spacing w:after="0" w:line="25" w:lineRule="exact"/>
        <w:rPr>
          <w:rFonts w:ascii="Times New Roman" w:cs="Times New Roman" w:eastAsia="Times New Roman" w:hAnsi="Times New Roman"/>
          <w:sz w:val="13"/>
          <w:szCs w:val="13"/>
          <w:color w:val="008000"/>
        </w:rPr>
      </w:pPr>
    </w:p>
    <w:p>
      <w:pPr>
        <w:ind w:left="40" w:right="22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Two-thirds (2/3) of the stock options have vested in substantially equal installments on each of the first two (2) anniversaries of the grant date, with the remaining one-third (1/3) scheduled to vest on the third (3rd) anniversary of the grant date, February 14, 2024.</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All shares of common stock subject to the stock options are vested.</w:t>
      </w:r>
    </w:p>
    <w:p>
      <w:pPr>
        <w:spacing w:after="0" w:line="70"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/s/ Michael Wayne Domino Jr.</w:t>
      </w:r>
      <w:r>
        <w:rPr>
          <w:sz w:val="20"/>
          <w:szCs w:val="20"/>
          <w:color w:val="auto"/>
        </w:rPr>
        <w:tab/>
      </w:r>
      <w:r>
        <w:rPr>
          <w:rFonts w:ascii="Times New Roman" w:cs="Times New Roman" w:eastAsia="Times New Roman" w:hAnsi="Times New Roman"/>
          <w:sz w:val="16"/>
          <w:szCs w:val="16"/>
          <w:color w:val="0000FF"/>
        </w:rPr>
        <w:t>06/15/2026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-8890</wp:posOffset>
            </wp:positionV>
            <wp:extent cx="18789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78965" cy="8255"/>
                    </a:xfrm>
                    <a:prstGeom prst="rect">
                      <a:avLst/>
                    </a:prstGeom>
                    <a:noFill/>
                  </pic:spPr>
                </pic:pic>
              </a:graphicData>
            </a:graphic>
          </wp:anchor>
        </w:drawing>
      </w:r>
    </w:p>
    <w:p>
      <w:pPr>
        <w:spacing w:after="0" w:line="43"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90"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ectPr>
          <w:pgSz w:w="11900" w:h="16900" w:orient="portrait"/>
          <w:cols w:equalWidth="0" w:num="1">
            <w:col w:w="11080"/>
          </w:cols>
          <w:pgMar w:left="460" w:top="217"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81953" TargetMode="External"/><Relationship Id="rId14" Type="http://schemas.openxmlformats.org/officeDocument/2006/relationships/hyperlink" Target="http://www.sec.gov/cgi-bin/browse-edgar?action=getcompany&amp;CIK=00018845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2026-06-15T15:42:47Z</dcterms:created>
  <dcterms:modified xsi:type="dcterms:W3CDTF">2026-06-15T15:42:47Z</dcterms:modified>
</cp:coreProperties>
</file>