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As filed with the U.S. Securities and Exchange Commission on November 8, 2021</w:t>
      </w:r>
    </w:p>
    <w:p>
      <w:pPr>
        <w:spacing w:after="0" w:line="50" w:lineRule="exact"/>
        <w:rPr>
          <w:sz w:val="24"/>
          <w:szCs w:val="24"/>
          <w:color w:val="auto"/>
        </w:rPr>
      </w:pPr>
    </w:p>
    <w:p>
      <w:pPr>
        <w:ind w:left="8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51435</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120015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Form S-1</w:t>
      </w:r>
    </w:p>
    <w:p>
      <w:pPr>
        <w:spacing w:after="0" w:line="3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134620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ROC Energy Acquisition Corp.</w:t>
      </w:r>
    </w:p>
    <w:p>
      <w:pPr>
        <w:spacing w:after="0" w:line="31"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133350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7" w:lineRule="exact"/>
        <w:rPr>
          <w:sz w:val="24"/>
          <w:szCs w:val="24"/>
          <w:color w:val="auto"/>
        </w:rPr>
      </w:pPr>
    </w:p>
    <w:tbl>
      <w:tblPr>
        <w:tblLayout w:type="fixed"/>
        <w:tblInd w:w="500" w:type="dxa"/>
        <w:tblCellMar>
          <w:top w:w="0" w:type="dxa"/>
          <w:left w:w="0" w:type="dxa"/>
          <w:bottom w:w="0" w:type="dxa"/>
          <w:right w:w="0" w:type="dxa"/>
        </w:tblCellMar>
      </w:tblPr>
      <w:tr>
        <w:trPr>
          <w:trHeight w:val="241"/>
        </w:trPr>
        <w:tc>
          <w:tcPr>
            <w:tcW w:w="31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Delaware</w:t>
            </w:r>
          </w:p>
        </w:tc>
        <w:tc>
          <w:tcPr>
            <w:tcW w:w="22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6770</w:t>
            </w:r>
          </w:p>
        </w:tc>
        <w:tc>
          <w:tcPr>
            <w:tcW w:w="22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87-2488708</w:t>
            </w:r>
          </w:p>
        </w:tc>
      </w:tr>
      <w:tr>
        <w:trPr>
          <w:trHeight w:val="162"/>
        </w:trPr>
        <w:tc>
          <w:tcPr>
            <w:tcW w:w="3320" w:type="dxa"/>
            <w:vAlign w:val="bottom"/>
            <w:gridSpan w:val="2"/>
          </w:tcPr>
          <w:p>
            <w:pPr>
              <w:ind w:left="660"/>
              <w:spacing w:after="0"/>
              <w:rPr>
                <w:sz w:val="20"/>
                <w:szCs w:val="20"/>
                <w:color w:val="auto"/>
              </w:rPr>
            </w:pPr>
            <w:r>
              <w:rPr>
                <w:rFonts w:ascii="Arial" w:cs="Arial" w:eastAsia="Arial" w:hAnsi="Arial"/>
                <w:sz w:val="14"/>
                <w:szCs w:val="14"/>
                <w:color w:val="auto"/>
              </w:rPr>
              <w:t>(State or other jurisdiction of</w:t>
            </w:r>
          </w:p>
        </w:tc>
        <w:tc>
          <w:tcPr>
            <w:tcW w:w="33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(Primary Standard Industrial</w:t>
            </w:r>
          </w:p>
        </w:tc>
        <w:tc>
          <w:tcPr>
            <w:tcW w:w="3100" w:type="dxa"/>
            <w:vAlign w:val="bottom"/>
          </w:tcPr>
          <w:p>
            <w:pPr>
              <w:jc w:val="center"/>
              <w:spacing w:after="0"/>
              <w:rPr>
                <w:sz w:val="20"/>
                <w:szCs w:val="20"/>
                <w:color w:val="auto"/>
              </w:rPr>
            </w:pPr>
            <w:r>
              <w:rPr>
                <w:rFonts w:ascii="Arial" w:cs="Arial" w:eastAsia="Arial" w:hAnsi="Arial"/>
                <w:sz w:val="14"/>
                <w:szCs w:val="14"/>
                <w:color w:val="auto"/>
                <w:w w:val="99"/>
              </w:rPr>
              <w:t>(I.R.S. Employer</w:t>
            </w:r>
          </w:p>
        </w:tc>
      </w:tr>
      <w:tr>
        <w:trPr>
          <w:trHeight w:val="182"/>
        </w:trPr>
        <w:tc>
          <w:tcPr>
            <w:tcW w:w="3320" w:type="dxa"/>
            <w:vAlign w:val="bottom"/>
            <w:gridSpan w:val="2"/>
          </w:tcPr>
          <w:p>
            <w:pPr>
              <w:ind w:left="640"/>
              <w:spacing w:after="0"/>
              <w:rPr>
                <w:sz w:val="20"/>
                <w:szCs w:val="20"/>
                <w:color w:val="auto"/>
              </w:rPr>
            </w:pPr>
            <w:r>
              <w:rPr>
                <w:rFonts w:ascii="Arial" w:cs="Arial" w:eastAsia="Arial" w:hAnsi="Arial"/>
                <w:sz w:val="14"/>
                <w:szCs w:val="14"/>
                <w:color w:val="auto"/>
              </w:rPr>
              <w:t>incorporation or organization)</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Classification Code Number)</w:t>
            </w:r>
          </w:p>
        </w:tc>
        <w:tc>
          <w:tcPr>
            <w:tcW w:w="3100" w:type="dxa"/>
            <w:vAlign w:val="bottom"/>
          </w:tcPr>
          <w:p>
            <w:pPr>
              <w:jc w:val="center"/>
              <w:spacing w:after="0"/>
              <w:rPr>
                <w:sz w:val="20"/>
                <w:szCs w:val="20"/>
                <w:color w:val="auto"/>
              </w:rPr>
            </w:pPr>
            <w:r>
              <w:rPr>
                <w:rFonts w:ascii="Arial" w:cs="Arial" w:eastAsia="Arial" w:hAnsi="Arial"/>
                <w:sz w:val="14"/>
                <w:szCs w:val="14"/>
                <w:color w:val="auto"/>
              </w:rPr>
              <w:t>Identification Number)</w:t>
            </w:r>
          </w:p>
        </w:tc>
      </w:tr>
    </w:tbl>
    <w:p>
      <w:pPr>
        <w:spacing w:after="0" w:line="150"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16400 Dallas Parkway</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Dallas, Texas 75248</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Telephone: 972-392-6180</w:t>
      </w:r>
    </w:p>
    <w:p>
      <w:pPr>
        <w:spacing w:after="0" w:line="58"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5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Daniel Jeffrey Kimes</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16400 Dallas Parkway</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75248 Telephone: 972-392-6180</w:t>
      </w:r>
    </w:p>
    <w:p>
      <w:pPr>
        <w:spacing w:after="0" w:line="58" w:lineRule="exact"/>
        <w:rPr>
          <w:sz w:val="24"/>
          <w:szCs w:val="24"/>
          <w:color w:val="auto"/>
        </w:rPr>
      </w:pP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140970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6"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Copies to:</w:t>
            </w:r>
          </w:p>
        </w:tc>
      </w:tr>
      <w:tr>
        <w:trPr>
          <w:trHeight w:val="373"/>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5"/>
              </w:rPr>
              <w:t>Douglas S. Ellenoff, Esq.</w:t>
            </w:r>
          </w:p>
        </w:tc>
        <w:tc>
          <w:tcPr>
            <w:tcW w:w="4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David Alan Miller, Esq.</w:t>
            </w:r>
          </w:p>
        </w:tc>
      </w:tr>
      <w:tr>
        <w:trPr>
          <w:trHeight w:val="216"/>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5"/>
              </w:rPr>
              <w:t>Stuart Neuhauser, Esq.</w:t>
            </w:r>
          </w:p>
        </w:tc>
        <w:tc>
          <w:tcPr>
            <w:tcW w:w="4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Jeffrey M. Gallant, Esq.</w:t>
            </w:r>
          </w:p>
        </w:tc>
      </w:tr>
      <w:tr>
        <w:trPr>
          <w:trHeight w:val="216"/>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Lijia Sanchez, Esq.</w:t>
            </w:r>
          </w:p>
        </w:tc>
        <w:tc>
          <w:tcPr>
            <w:tcW w:w="430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Graubard Miller</w:t>
            </w:r>
          </w:p>
        </w:tc>
      </w:tr>
      <w:tr>
        <w:trPr>
          <w:trHeight w:val="216"/>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Ellenoff Grossman &amp; Schole LLP</w:t>
            </w:r>
          </w:p>
        </w:tc>
        <w:tc>
          <w:tcPr>
            <w:tcW w:w="430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The Chrysler Building</w:t>
            </w:r>
          </w:p>
        </w:tc>
      </w:tr>
      <w:tr>
        <w:trPr>
          <w:trHeight w:val="216"/>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5"/>
              </w:rPr>
              <w:t>1345 Avenue of the Americas</w:t>
            </w:r>
          </w:p>
        </w:tc>
        <w:tc>
          <w:tcPr>
            <w:tcW w:w="4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5"/>
              </w:rPr>
              <w:t>405 Lexington Avenue</w:t>
            </w:r>
          </w:p>
        </w:tc>
      </w:tr>
      <w:tr>
        <w:trPr>
          <w:trHeight w:val="216"/>
        </w:trPr>
        <w:tc>
          <w:tcPr>
            <w:tcW w:w="29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New York, NY 10105</w:t>
            </w:r>
          </w:p>
        </w:tc>
        <w:tc>
          <w:tcPr>
            <w:tcW w:w="4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New York, New York 10174</w:t>
            </w:r>
          </w:p>
        </w:tc>
      </w:tr>
      <w:tr>
        <w:trPr>
          <w:trHeight w:val="234"/>
        </w:trPr>
        <w:tc>
          <w:tcPr>
            <w:tcW w:w="2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6"/>
              </w:rPr>
              <w:t>Tel: (212) 370-1300</w:t>
            </w:r>
          </w:p>
        </w:tc>
        <w:tc>
          <w:tcPr>
            <w:tcW w:w="4300" w:type="dxa"/>
            <w:vAlign w:val="bottom"/>
          </w:tcPr>
          <w:p>
            <w:pPr>
              <w:jc w:val="center"/>
              <w:ind w:left="2210"/>
              <w:spacing w:after="0"/>
              <w:rPr>
                <w:sz w:val="20"/>
                <w:szCs w:val="20"/>
                <w:color w:val="auto"/>
              </w:rPr>
            </w:pPr>
            <w:r>
              <w:rPr>
                <w:rFonts w:ascii="Arial" w:cs="Arial" w:eastAsia="Arial" w:hAnsi="Arial"/>
                <w:sz w:val="18"/>
                <w:szCs w:val="18"/>
                <w:b w:val="1"/>
                <w:bCs w:val="1"/>
                <w:color w:val="auto"/>
                <w:w w:val="87"/>
              </w:rPr>
              <w:t>Tel: (212) 818-800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162560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500" w:right="420" w:firstLine="36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98" w:lineRule="exact"/>
        <w:rPr>
          <w:sz w:val="24"/>
          <w:szCs w:val="24"/>
          <w:color w:val="auto"/>
        </w:rPr>
      </w:pPr>
    </w:p>
    <w:p>
      <w:pPr>
        <w:ind w:left="500" w:right="720" w:firstLine="3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ind w:left="500" w:right="80" w:firstLine="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left="500" w:right="14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5" w:lineRule="exact"/>
        <w:rPr>
          <w:sz w:val="24"/>
          <w:szCs w:val="24"/>
          <w:color w:val="auto"/>
        </w:rPr>
      </w:pPr>
    </w:p>
    <w:p>
      <w:pPr>
        <w:ind w:left="500" w:right="12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223520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10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0"/>
          <w:szCs w:val="20"/>
          <w:color w:val="auto"/>
        </w:rPr>
      </w:pPr>
    </w:p>
    <w:p>
      <w:pPr>
        <w:jc w:val="both"/>
        <w:ind w:left="500" w:right="400" w:firstLine="3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596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r>
      <w:tr>
        <w:trPr>
          <w:trHeight w:val="160"/>
        </w:trPr>
        <w:tc>
          <w:tcPr>
            <w:tcW w:w="5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880" w:type="dxa"/>
            <w:vAlign w:val="bottom"/>
          </w:tcPr>
          <w:p>
            <w:pPr>
              <w:spacing w:after="0"/>
              <w:rPr>
                <w:sz w:val="13"/>
                <w:szCs w:val="13"/>
                <w:color w:val="auto"/>
              </w:rPr>
            </w:pPr>
          </w:p>
        </w:tc>
      </w:tr>
      <w:tr>
        <w:trPr>
          <w:trHeight w:val="162"/>
        </w:trPr>
        <w:tc>
          <w:tcPr>
            <w:tcW w:w="5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80" w:type="dxa"/>
            <w:vAlign w:val="bottom"/>
          </w:tcPr>
          <w:p>
            <w:pPr>
              <w:spacing w:after="0"/>
              <w:rPr>
                <w:sz w:val="14"/>
                <w:szCs w:val="14"/>
                <w:color w:val="auto"/>
              </w:rPr>
            </w:pPr>
          </w:p>
        </w:tc>
      </w:tr>
      <w:tr>
        <w:trPr>
          <w:trHeight w:val="162"/>
        </w:trPr>
        <w:tc>
          <w:tcPr>
            <w:tcW w:w="5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w:t>
            </w:r>
          </w:p>
        </w:tc>
      </w:tr>
      <w:tr>
        <w:trPr>
          <w:trHeight w:val="149"/>
        </w:trPr>
        <w:tc>
          <w:tcPr>
            <w:tcW w:w="5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Amount Being</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per</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225"/>
        </w:trPr>
        <w:tc>
          <w:tcPr>
            <w:tcW w:w="5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Registered</w:t>
            </w:r>
            <w:r>
              <w:rPr>
                <w:rFonts w:ascii="Arial" w:cs="Arial" w:eastAsia="Arial" w:hAnsi="Arial"/>
                <w:sz w:val="17"/>
                <w:szCs w:val="17"/>
                <w:b w:val="1"/>
                <w:bCs w:val="1"/>
                <w:color w:val="auto"/>
                <w:w w:val="83"/>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r>
              <w:rPr>
                <w:rFonts w:ascii="Arial" w:cs="Arial" w:eastAsia="Arial" w:hAnsi="Arial"/>
                <w:sz w:val="17"/>
                <w:szCs w:val="17"/>
                <w:b w:val="1"/>
                <w:bCs w:val="1"/>
                <w:color w:val="auto"/>
                <w:w w:val="83"/>
                <w:vertAlign w:val="superscript"/>
              </w:rPr>
              <w:t>(2)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222"/>
        </w:trPr>
        <w:tc>
          <w:tcPr>
            <w:tcW w:w="5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Units, each consisting of one share of Common Stock, $0.0001 par value, and</w:t>
            </w:r>
          </w:p>
        </w:tc>
        <w:tc>
          <w:tcPr>
            <w:tcW w:w="980" w:type="dxa"/>
            <w:vAlign w:val="bottom"/>
            <w:tcBorders>
              <w:right w:val="single" w:sz="8" w:color="auto"/>
            </w:tcBorders>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one Right to receive one-tenth of one share of Common Stock</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17,250,000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$10.00</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$172,500,000</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$15,990.75</w:t>
            </w:r>
          </w:p>
        </w:tc>
      </w:tr>
      <w:tr>
        <w:trPr>
          <w:trHeight w:val="190"/>
        </w:trPr>
        <w:tc>
          <w:tcPr>
            <w:tcW w:w="59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Shares of Common Stock, $0.001 par value, included as part of the</w:t>
            </w:r>
          </w:p>
        </w:tc>
        <w:tc>
          <w:tcPr>
            <w:tcW w:w="9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r>
      <w:tr>
        <w:trPr>
          <w:trHeight w:val="263"/>
        </w:trPr>
        <w:tc>
          <w:tcPr>
            <w:tcW w:w="5960" w:type="dxa"/>
            <w:vAlign w:val="bottom"/>
            <w:tcBorders>
              <w:bottom w:val="single" w:sz="8" w:color="auto"/>
              <w:right w:val="single" w:sz="8" w:color="auto"/>
            </w:tcBorders>
          </w:tcPr>
          <w:p>
            <w:pPr>
              <w:ind w:left="180"/>
              <w:spacing w:after="0" w:line="263" w:lineRule="exact"/>
              <w:rPr>
                <w:sz w:val="20"/>
                <w:szCs w:val="20"/>
                <w:color w:val="auto"/>
              </w:rPr>
            </w:pPr>
            <w:r>
              <w:rPr>
                <w:rFonts w:ascii="Arial" w:cs="Arial" w:eastAsia="Arial" w:hAnsi="Arial"/>
                <w:sz w:val="18"/>
                <w:szCs w:val="18"/>
                <w:color w:val="auto"/>
              </w:rPr>
              <w:t>Units</w:t>
            </w:r>
            <w:r>
              <w:rPr>
                <w:rFonts w:ascii="Arial" w:cs="Arial" w:eastAsia="Arial" w:hAnsi="Arial"/>
                <w:sz w:val="23"/>
                <w:szCs w:val="23"/>
                <w:color w:val="auto"/>
                <w:vertAlign w:val="superscript"/>
              </w:rPr>
              <w:t>(4)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17,250,000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30"/>
                <w:szCs w:val="30"/>
                <w:color w:val="auto"/>
                <w:w w:val="95"/>
                <w:vertAlign w:val="subscript"/>
              </w:rPr>
              <w:t>—</w:t>
            </w:r>
            <w:r>
              <w:rPr>
                <w:rFonts w:ascii="Arial" w:cs="Arial" w:eastAsia="Arial" w:hAnsi="Arial"/>
                <w:sz w:val="11"/>
                <w:szCs w:val="11"/>
                <w:color w:val="auto"/>
                <w:w w:val="95"/>
              </w:rPr>
              <w:t>(3)</w:t>
            </w:r>
          </w:p>
        </w:tc>
      </w:tr>
      <w:tr>
        <w:trPr>
          <w:trHeight w:val="264"/>
        </w:trPr>
        <w:tc>
          <w:tcPr>
            <w:tcW w:w="5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Rights included as part of the Units</w:t>
            </w:r>
            <w:r>
              <w:rPr>
                <w:rFonts w:ascii="Arial" w:cs="Arial" w:eastAsia="Arial" w:hAnsi="Arial"/>
                <w:sz w:val="23"/>
                <w:szCs w:val="23"/>
                <w:color w:val="auto"/>
                <w:vertAlign w:val="superscript"/>
              </w:rPr>
              <w:t>(4)</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17,250,000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w w:val="95"/>
                <w:vertAlign w:val="subscript"/>
              </w:rPr>
              <w:t>—</w:t>
            </w:r>
            <w:r>
              <w:rPr>
                <w:rFonts w:ascii="Arial" w:cs="Arial" w:eastAsia="Arial" w:hAnsi="Arial"/>
                <w:sz w:val="11"/>
                <w:szCs w:val="11"/>
                <w:color w:val="auto"/>
                <w:w w:val="95"/>
              </w:rPr>
              <w:t>(3)</w:t>
            </w:r>
          </w:p>
        </w:tc>
      </w:tr>
      <w:tr>
        <w:trPr>
          <w:trHeight w:val="209"/>
        </w:trPr>
        <w:tc>
          <w:tcPr>
            <w:tcW w:w="59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 of Common Stock underlying the Rights included as part of the</w:t>
            </w: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9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Units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1,725,000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17,250,000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1,599.08</w:t>
            </w:r>
          </w:p>
        </w:tc>
      </w:tr>
      <w:tr>
        <w:trPr>
          <w:trHeight w:val="234"/>
        </w:trPr>
        <w:tc>
          <w:tcPr>
            <w:tcW w:w="5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$189,750,000</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$17,589.83</w:t>
            </w:r>
          </w:p>
        </w:tc>
      </w:tr>
      <w:tr>
        <w:trPr>
          <w:trHeight w:val="20"/>
        </w:trPr>
        <w:tc>
          <w:tcPr>
            <w:tcW w:w="59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860" w:right="160" w:hanging="368"/>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2,250,000 Units and 2,250,000 shares of Common Stock and 2,250,000 Rights underlying such Units which may be issued on exercise of a 45-day option granted to the underwriters to cover over-allotments, if any.</w:t>
      </w:r>
    </w:p>
    <w:p>
      <w:pPr>
        <w:spacing w:after="0" w:line="21" w:lineRule="exact"/>
        <w:rPr>
          <w:rFonts w:ascii="Arial" w:cs="Arial" w:eastAsia="Arial" w:hAnsi="Arial"/>
          <w:sz w:val="18"/>
          <w:szCs w:val="18"/>
          <w:color w:val="auto"/>
        </w:rPr>
      </w:pPr>
    </w:p>
    <w:p>
      <w:pPr>
        <w:ind w:left="860" w:hanging="368"/>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w:t>
      </w:r>
    </w:p>
    <w:p>
      <w:pPr>
        <w:spacing w:after="0" w:line="90" w:lineRule="exact"/>
        <w:rPr>
          <w:rFonts w:ascii="Arial" w:cs="Arial" w:eastAsia="Arial" w:hAnsi="Arial"/>
          <w:sz w:val="18"/>
          <w:szCs w:val="18"/>
          <w:color w:val="auto"/>
        </w:rPr>
      </w:pPr>
    </w:p>
    <w:p>
      <w:pPr>
        <w:ind w:left="860" w:hanging="368"/>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76" w:lineRule="exact"/>
        <w:rPr>
          <w:rFonts w:ascii="Arial" w:cs="Arial" w:eastAsia="Arial" w:hAnsi="Arial"/>
          <w:sz w:val="18"/>
          <w:szCs w:val="18"/>
          <w:color w:val="auto"/>
        </w:rPr>
      </w:pPr>
    </w:p>
    <w:p>
      <w:pPr>
        <w:ind w:left="860" w:right="340" w:hanging="368"/>
        <w:spacing w:after="0" w:line="308"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there are also being registered an indeterminable number of additional securities as may be issued to prevent dilution resulting from share sub-division, share dividends or similar transactions</w:t>
      </w:r>
    </w:p>
    <w:p>
      <w:pPr>
        <w:spacing w:after="0" w:line="75" w:lineRule="exact"/>
        <w:rPr>
          <w:sz w:val="20"/>
          <w:szCs w:val="20"/>
          <w:color w:val="auto"/>
        </w:rPr>
      </w:pPr>
    </w:p>
    <w:p>
      <w:pPr>
        <w:jc w:val="both"/>
        <w:ind w:left="500" w:right="100" w:firstLine="360"/>
        <w:spacing w:after="0" w:line="32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80010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122555</wp:posOffset>
            </wp:positionV>
            <wp:extent cx="61893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2759075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240"/>
          </w:cols>
          <w:pgMar w:left="580" w:top="131" w:right="1079"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96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or sale is not</w:t>
            </w:r>
          </w:p>
        </w:tc>
      </w:tr>
      <w:tr>
        <w:trPr>
          <w:trHeight w:val="235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 the Securities</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336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sell these securities until the registration</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is not soliciting an offer to buy these securities</w:t>
            </w:r>
          </w:p>
        </w:tc>
      </w:tr>
      <w:tr>
        <w:trPr>
          <w:trHeight w:val="115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be changed. We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securities and it</w:t>
            </w:r>
          </w:p>
        </w:tc>
      </w:tr>
      <w:tr>
        <w:trPr>
          <w:trHeight w:val="127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offer to sell these</w:t>
            </w:r>
          </w:p>
        </w:tc>
      </w:tr>
      <w:tr>
        <w:trPr>
          <w:trHeight w:val="250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preliminary prospectus is not</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effective. This prospectus is not an</w:t>
            </w:r>
          </w:p>
        </w:tc>
      </w:tr>
      <w:tr>
        <w:trPr>
          <w:trHeight w:val="108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320" w:type="dxa"/>
            <w:vAlign w:val="bottom"/>
            <w:textDirection w:val="btLr"/>
          </w:tcPr>
          <w:p>
            <w:pPr>
              <w:ind w:left="182"/>
              <w:spacing w:after="0"/>
              <w:rPr>
                <w:sz w:val="20"/>
                <w:szCs w:val="20"/>
                <w:color w:val="auto"/>
              </w:rPr>
            </w:pPr>
            <w:r>
              <w:rPr>
                <w:rFonts w:ascii="Arial" w:cs="Arial" w:eastAsia="Arial" w:hAnsi="Arial"/>
                <w:sz w:val="12"/>
                <w:szCs w:val="12"/>
                <w:b w:val="1"/>
                <w:bCs w:val="1"/>
                <w:color w:val="FC0014"/>
                <w:w w:val="71"/>
              </w:rPr>
              <w:t>Commission ispermitted.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FC0014"/>
        </w:rPr>
        <w:t>PRELIMINARY PROSPECTUS</w:t>
      </w:r>
      <w:r>
        <w:rPr>
          <w:sz w:val="20"/>
          <w:szCs w:val="20"/>
          <w:color w:val="auto"/>
        </w:rPr>
        <w:tab/>
      </w:r>
      <w:r>
        <w:rPr>
          <w:rFonts w:ascii="Arial" w:cs="Arial" w:eastAsia="Arial" w:hAnsi="Arial"/>
          <w:sz w:val="17"/>
          <w:szCs w:val="17"/>
          <w:b w:val="1"/>
          <w:bCs w:val="1"/>
          <w:color w:val="FC0014"/>
        </w:rPr>
        <w:t>SUBJECT TO COMPLETION, DATED NOVEMBER 8, 2021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ROC Energy Acquisition Corp.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 Units</w:t>
      </w:r>
    </w:p>
    <w:p>
      <w:pPr>
        <w:spacing w:after="0" w:line="30" w:lineRule="exact"/>
        <w:rPr>
          <w:sz w:val="20"/>
          <w:szCs w:val="20"/>
          <w:color w:val="auto"/>
        </w:rPr>
      </w:pPr>
    </w:p>
    <w:p>
      <w:pPr>
        <w:ind w:right="160" w:firstLine="360"/>
        <w:spacing w:after="0" w:line="217" w:lineRule="auto"/>
        <w:rPr>
          <w:sz w:val="20"/>
          <w:szCs w:val="20"/>
          <w:color w:val="auto"/>
        </w:rPr>
      </w:pPr>
      <w:r>
        <w:rPr>
          <w:rFonts w:ascii="Arial" w:cs="Arial" w:eastAsia="Arial" w:hAnsi="Arial"/>
          <w:sz w:val="15"/>
          <w:szCs w:val="15"/>
          <w:color w:val="auto"/>
        </w:rPr>
        <w:t>ROC Energy Acquisition Corp. is a blank check company formed for the purpose of effecting a merger, stock exchange, asset acquisition, stock purchase, reorganization or similar business combination with one or more businesses. Although there is no restriction or limitation on what industry or geographic region our target operates in, it is our intention to pursue prospective targets in the non-operated, upstream oil and gas sector.</w:t>
      </w:r>
    </w:p>
    <w:p>
      <w:pPr>
        <w:spacing w:after="0" w:line="1" w:lineRule="exact"/>
        <w:rPr>
          <w:sz w:val="20"/>
          <w:szCs w:val="20"/>
          <w:color w:val="auto"/>
        </w:rPr>
      </w:pPr>
    </w:p>
    <w:p>
      <w:pPr>
        <w:ind w:right="420" w:firstLine="360"/>
        <w:spacing w:after="0" w:line="222" w:lineRule="auto"/>
        <w:rPr>
          <w:sz w:val="20"/>
          <w:szCs w:val="20"/>
          <w:color w:val="auto"/>
        </w:rPr>
      </w:pPr>
      <w:r>
        <w:rPr>
          <w:rFonts w:ascii="Arial" w:cs="Arial" w:eastAsia="Arial" w:hAnsi="Arial"/>
          <w:sz w:val="15"/>
          <w:szCs w:val="15"/>
          <w:color w:val="auto"/>
        </w:rPr>
        <w:t>This is an initial public offering of our securities. Each unit that we are offering has a price of $10.00 and consists of one share of common stock and one right to receive one-tenth (1/10) of a share of common stock upon the consummation of an initial business combination, as described in more detail in this prospectus.</w:t>
      </w:r>
    </w:p>
    <w:p>
      <w:pPr>
        <w:spacing w:after="0" w:line="1" w:lineRule="exact"/>
        <w:rPr>
          <w:sz w:val="20"/>
          <w:szCs w:val="20"/>
          <w:color w:val="auto"/>
        </w:rPr>
      </w:pPr>
    </w:p>
    <w:p>
      <w:pPr>
        <w:ind w:right="220" w:firstLine="360"/>
        <w:spacing w:after="0" w:line="234" w:lineRule="auto"/>
        <w:rPr>
          <w:sz w:val="20"/>
          <w:szCs w:val="20"/>
          <w:color w:val="auto"/>
        </w:rPr>
      </w:pPr>
      <w:r>
        <w:rPr>
          <w:rFonts w:ascii="Arial" w:cs="Arial" w:eastAsia="Arial" w:hAnsi="Arial"/>
          <w:sz w:val="15"/>
          <w:szCs w:val="15"/>
          <w:color w:val="auto"/>
        </w:rPr>
        <w:t>We have granted the underwriters a 45-day option to purchase up to 2,250,000 units (over and above the 15,000,000 units referred to above) solely to cover over-allotments, if any.</w:t>
      </w:r>
    </w:p>
    <w:p>
      <w:pPr>
        <w:spacing w:after="0" w:line="1" w:lineRule="exact"/>
        <w:rPr>
          <w:sz w:val="20"/>
          <w:szCs w:val="20"/>
          <w:color w:val="auto"/>
        </w:rPr>
      </w:pPr>
    </w:p>
    <w:p>
      <w:pPr>
        <w:ind w:right="40" w:firstLine="360"/>
        <w:spacing w:after="0" w:line="209" w:lineRule="auto"/>
        <w:rPr>
          <w:sz w:val="20"/>
          <w:szCs w:val="20"/>
          <w:color w:val="auto"/>
        </w:rPr>
      </w:pPr>
      <w:r>
        <w:rPr>
          <w:rFonts w:ascii="Arial" w:cs="Arial" w:eastAsia="Arial" w:hAnsi="Arial"/>
          <w:sz w:val="15"/>
          <w:szCs w:val="15"/>
          <w:color w:val="auto"/>
        </w:rPr>
        <w:t>We will have 12 months from the closing of this offering to consummate an initial business combination (or up to 18 months from the closing of this offering if we extend the period of time to consummate a business combination, as described in more detail in this prospectus). We will provide our public stockholders with the opportunity to redeem all or a portion of their shares of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(which interest shall be net of taxes payable), divided by the number of then outstanding shares of common stock that were sold as part of the units in this offering, which we refer to collectively as our public shares, subject to the limitations and on the conditions described herein. If we are unable to complete our initial business combination within 12 months from the closing of this offering (or up to 18 months from the closing of this offering if we extend the period of time to consummate a business combination), we will redeem 100% of the public shares at a per share price, payable in cash, equal to the aggregate amount then on deposit in the trust account, including interest earned on the funds held in the trust account (which interest shall be net of taxes payable and up to $100,000 of interest to pay dissolution expenses), divided by the number of then outstanding public shares, subject to applicable law and certain conditions as further described herein. Our public stockholders will not be afforded an opportunity to vote on our extension of time to consummate an initial business combination from 12 months to 18 months described above or redeem their shares in connection with such extensions.</w:t>
      </w:r>
    </w:p>
    <w:p>
      <w:pPr>
        <w:spacing w:after="0" w:line="8" w:lineRule="exact"/>
        <w:rPr>
          <w:sz w:val="20"/>
          <w:szCs w:val="20"/>
          <w:color w:val="auto"/>
        </w:rPr>
      </w:pPr>
    </w:p>
    <w:p>
      <w:pPr>
        <w:ind w:right="60" w:firstLine="360"/>
        <w:spacing w:after="0" w:line="216" w:lineRule="auto"/>
        <w:rPr>
          <w:sz w:val="20"/>
          <w:szCs w:val="20"/>
          <w:color w:val="auto"/>
        </w:rPr>
      </w:pPr>
      <w:r>
        <w:rPr>
          <w:rFonts w:ascii="Arial" w:cs="Arial" w:eastAsia="Arial" w:hAnsi="Arial"/>
          <w:sz w:val="15"/>
          <w:szCs w:val="15"/>
          <w:color w:val="auto"/>
        </w:rPr>
        <w:t>Our sponsor, ROC Energy Holdings, LLC, an entity affiliated with our officers and directors, has committed to purchase from us 625,000 units (or 692,500 units if the over-allotment option is exercised in full), or “private units,” at $10.00 per private unit for a total purchase price of $6,250,000 (or $6,925,000 if the over-allotment option is exercised in full). The private units will be sold in a private placement that will close simultaneously with the closing of this offering. Each private unit will be identical to the units sold in this offering, except as described in this prospectus.</w:t>
      </w:r>
    </w:p>
    <w:p>
      <w:pPr>
        <w:ind w:right="140" w:firstLine="360"/>
        <w:spacing w:after="0" w:line="198" w:lineRule="auto"/>
        <w:rPr>
          <w:sz w:val="20"/>
          <w:szCs w:val="20"/>
          <w:color w:val="auto"/>
        </w:rPr>
      </w:pPr>
      <w:r>
        <w:rPr>
          <w:rFonts w:ascii="Arial" w:cs="Arial" w:eastAsia="Arial" w:hAnsi="Arial"/>
          <w:sz w:val="14"/>
          <w:szCs w:val="14"/>
          <w:color w:val="auto"/>
        </w:rPr>
        <w:t>There is presently no public market for our units, common stock or rights. We have applied to have our units listed on the New York Stock Exchange, or the NYSE, under the symbol “ROC.U.” We cannot guarantee that our securities will be approved for listing on the NYSE. We expect that the common stock and rights comprising the units to begin separate trading on the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day following the date of this</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5"/>
          <w:szCs w:val="15"/>
          <w:color w:val="auto"/>
        </w:rPr>
        <w:t>prospectus unless EarlyBirdCapital, Inc., the representative of the underwriters, determines that an earlier date is acceptable, subject to our filing a current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we expect that the common stock and rights will be listed on the NYSE under the symbols “ROC” and “ROC.R,” respectively. We cannot assure you that our securities will continue to be listed on the NYSE after this offering.</w:t>
      </w:r>
    </w:p>
    <w:p>
      <w:pPr>
        <w:spacing w:after="0" w:line="2" w:lineRule="exact"/>
        <w:rPr>
          <w:sz w:val="20"/>
          <w:szCs w:val="20"/>
          <w:color w:val="auto"/>
        </w:rPr>
      </w:pPr>
    </w:p>
    <w:p>
      <w:pPr>
        <w:ind w:right="460" w:firstLine="360"/>
        <w:spacing w:after="0" w:line="230"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and have elected to comply with certain reduced public company reporting requirements.</w:t>
      </w:r>
    </w:p>
    <w:p>
      <w:pPr>
        <w:jc w:val="both"/>
        <w:ind w:right="280" w:firstLine="360"/>
        <w:spacing w:after="0" w:line="222"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securities involves a high degree of risk. See “Risks Factors” beginning on page </w:t>
      </w:r>
      <w:hyperlink w:anchor="page34">
        <w:r>
          <w:rPr>
            <w:rFonts w:ascii="Arial" w:cs="Arial" w:eastAsia="Arial" w:hAnsi="Arial"/>
            <w:sz w:val="15"/>
            <w:szCs w:val="15"/>
            <w:b w:val="1"/>
            <w:bCs w:val="1"/>
            <w:u w:val="single" w:color="auto"/>
            <w:color w:val="0000EE"/>
          </w:rPr>
          <w:t>31</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for a discussion of information that should be considered in connection with an investment in our securities. Investors will not be entitled to protections normally afforded to investors in Rule 419 blank check offerings.</w:t>
      </w:r>
    </w:p>
    <w:p>
      <w:pPr>
        <w:spacing w:after="0" w:line="1" w:lineRule="exact"/>
        <w:rPr>
          <w:sz w:val="20"/>
          <w:szCs w:val="20"/>
          <w:color w:val="auto"/>
        </w:rPr>
      </w:pPr>
    </w:p>
    <w:p>
      <w:pPr>
        <w:ind w:right="160" w:firstLine="360"/>
        <w:spacing w:after="0" w:line="251"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Underwriting</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Discounts and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80"/>
              </w:rPr>
              <w:t>Proceeds, before</w:t>
            </w:r>
          </w:p>
        </w:tc>
      </w:tr>
      <w:tr>
        <w:trPr>
          <w:trHeight w:val="198"/>
        </w:trPr>
        <w:tc>
          <w:tcPr>
            <w:tcW w:w="194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Price to Public</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3"/>
              </w:rPr>
              <w:t>Commissions</w:t>
            </w:r>
            <w:r>
              <w:rPr>
                <w:rFonts w:ascii="Arial" w:cs="Arial" w:eastAsia="Arial" w:hAnsi="Arial"/>
                <w:sz w:val="17"/>
                <w:szCs w:val="17"/>
                <w:b w:val="1"/>
                <w:bCs w:val="1"/>
                <w:color w:val="auto"/>
                <w:w w:val="83"/>
                <w:vertAlign w:val="superscript"/>
              </w:rPr>
              <w:t>(1)</w:t>
            </w:r>
          </w:p>
        </w:tc>
        <w:tc>
          <w:tcPr>
            <w:tcW w:w="2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expenses, to us</w:t>
            </w:r>
          </w:p>
        </w:tc>
      </w:tr>
      <w:tr>
        <w:trPr>
          <w:trHeight w:val="192"/>
        </w:trPr>
        <w:tc>
          <w:tcPr>
            <w:tcW w:w="5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 Unit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0.20</w:t>
            </w: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w:t>
            </w:r>
          </w:p>
        </w:tc>
        <w:tc>
          <w:tcPr>
            <w:tcW w:w="80" w:type="dxa"/>
            <w:vAlign w:val="bottom"/>
            <w:shd w:val="clear" w:color="auto" w:fill="CCEEFF"/>
          </w:tcPr>
          <w:p>
            <w:pPr>
              <w:spacing w:after="0"/>
              <w:rPr>
                <w:sz w:val="16"/>
                <w:szCs w:val="16"/>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0"/>
        </w:trPr>
        <w:tc>
          <w:tcPr>
            <w:tcW w:w="5580" w:type="dxa"/>
            <w:vAlign w:val="bottom"/>
            <w:gridSpan w:val="2"/>
          </w:tcPr>
          <w:p>
            <w:pPr>
              <w:spacing w:after="0"/>
              <w:rPr>
                <w:sz w:val="20"/>
                <w:szCs w:val="20"/>
                <w:color w:val="auto"/>
              </w:rPr>
            </w:pPr>
            <w:r>
              <w:rPr>
                <w:rFonts w:ascii="Arial" w:cs="Arial" w:eastAsia="Arial" w:hAnsi="Arial"/>
                <w:sz w:val="15"/>
                <w:szCs w:val="15"/>
                <w:color w:val="auto"/>
              </w:rPr>
              <w:t>Total</w:t>
            </w:r>
          </w:p>
        </w:tc>
        <w:tc>
          <w:tcPr>
            <w:tcW w:w="2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88"/>
              </w:rPr>
              <w:t>150,000,000</w:t>
            </w:r>
          </w:p>
        </w:tc>
        <w:tc>
          <w:tcPr>
            <w:tcW w:w="2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3,000,000</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5"/>
                <w:szCs w:val="15"/>
                <w:u w:val="single" w:color="auto"/>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88"/>
              </w:rPr>
              <w:t>147,000,000</w:t>
            </w:r>
          </w:p>
        </w:tc>
        <w:tc>
          <w:tcPr>
            <w:tcW w:w="80" w:type="dxa"/>
            <w:vAlign w:val="bottom"/>
          </w:tcPr>
          <w:p>
            <w:pPr>
              <w:spacing w:after="0"/>
              <w:rPr>
                <w:sz w:val="17"/>
                <w:szCs w:val="17"/>
                <w:color w:val="auto"/>
              </w:rPr>
            </w:pPr>
          </w:p>
        </w:tc>
      </w:tr>
      <w:tr>
        <w:trPr>
          <w:trHeight w:val="21"/>
        </w:trPr>
        <w:tc>
          <w:tcPr>
            <w:tcW w:w="194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-307975</wp:posOffset>
            </wp:positionV>
            <wp:extent cx="5126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75" w:lineRule="exact"/>
        <w:rPr>
          <w:sz w:val="20"/>
          <w:szCs w:val="20"/>
          <w:color w:val="auto"/>
        </w:rPr>
      </w:pPr>
    </w:p>
    <w:p>
      <w:pPr>
        <w:jc w:val="both"/>
        <w:ind w:left="360" w:right="280" w:hanging="360"/>
        <w:spacing w:after="0" w:line="275" w:lineRule="auto"/>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underwriters have received and will receive compensation in addition to the underwriting discount, including 150,000 shares of common stock issued to EarlyBirdCapital and/or its designees, which we refer to herein as the “representative founder shares.” See “Underwriting” for further information relating to the underwriters’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 the proceeds we receive from this offering and the sale of the private placement units described in this prospectus, $151,500,000, or</w:t>
      </w:r>
    </w:p>
    <w:p>
      <w:pPr>
        <w:spacing w:after="0" w:line="2"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$174,225,000 if the underwriters’ over-allotment option is exercised in full ($10.10 per unit sold to the public in the offering in either case), will be deposited into a United States-based trust account maintained by Continental Stock Transfer &amp; Trust Company, acting as trustee.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 The proceeds deposited in the trust account could become subject to the claims of our creditors, if any, which could have priority over the claims of our public stockholders.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underwriters are offering the units on a firm commitment basis. EarlyBirdCapital, acting as the sole book-running manager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20"/>
                <w:szCs w:val="20"/>
                <w:color w:val="auto"/>
              </w:rPr>
            </w:pPr>
            <w:r>
              <w:rPr>
                <w:rFonts w:ascii="Arial" w:cs="Arial" w:eastAsia="Arial" w:hAnsi="Arial"/>
                <w:sz w:val="15"/>
                <w:szCs w:val="15"/>
                <w:color w:val="auto"/>
              </w:rPr>
              <w:t>representative of the underwriters, expects to deliver the units to purchasers on or about</w:t>
            </w:r>
          </w:p>
        </w:tc>
        <w:tc>
          <w:tcPr>
            <w:tcW w:w="880" w:type="dxa"/>
            <w:vAlign w:val="bottom"/>
          </w:tcPr>
          <w:p>
            <w:pPr>
              <w:jc w:val="right"/>
              <w:spacing w:after="0"/>
              <w:rPr>
                <w:sz w:val="20"/>
                <w:szCs w:val="20"/>
                <w:color w:val="auto"/>
              </w:rPr>
            </w:pPr>
            <w:r>
              <w:rPr>
                <w:rFonts w:ascii="Arial" w:cs="Arial" w:eastAsia="Arial" w:hAnsi="Arial"/>
                <w:sz w:val="15"/>
                <w:szCs w:val="15"/>
                <w:color w:val="auto"/>
              </w:rPr>
              <w:t>, 2021.</w:t>
            </w:r>
          </w:p>
        </w:tc>
      </w:tr>
      <w:tr>
        <w:trPr>
          <w:trHeight w:val="194"/>
        </w:trPr>
        <w:tc>
          <w:tcPr>
            <w:tcW w:w="6080" w:type="dxa"/>
            <w:vAlign w:val="bottom"/>
          </w:tcPr>
          <w:p>
            <w:pPr>
              <w:ind w:left="3660"/>
              <w:spacing w:after="0"/>
              <w:rPr>
                <w:sz w:val="20"/>
                <w:szCs w:val="20"/>
                <w:color w:val="auto"/>
              </w:rPr>
            </w:pPr>
            <w:r>
              <w:rPr>
                <w:rFonts w:ascii="Arial" w:cs="Arial" w:eastAsia="Arial" w:hAnsi="Arial"/>
                <w:sz w:val="15"/>
                <w:szCs w:val="15"/>
                <w:b w:val="1"/>
                <w:bCs w:val="1"/>
                <w:i w:val="1"/>
                <w:iCs w:val="1"/>
                <w:color w:val="auto"/>
              </w:rPr>
              <w:t>Sole Book-Running Manager</w:t>
            </w:r>
          </w:p>
        </w:tc>
        <w:tc>
          <w:tcPr>
            <w:tcW w:w="880" w:type="dxa"/>
            <w:vAlign w:val="bottom"/>
          </w:tcPr>
          <w:p>
            <w:pPr>
              <w:spacing w:after="0"/>
              <w:rPr>
                <w:sz w:val="16"/>
                <w:szCs w:val="16"/>
                <w:color w:val="auto"/>
              </w:rPr>
            </w:pPr>
          </w:p>
        </w:tc>
      </w:tr>
    </w:tbl>
    <w:p>
      <w:pPr>
        <w:spacing w:after="0" w:line="2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EarlyBirdCapital, Inc.</w:t>
      </w:r>
    </w:p>
    <w:p>
      <w:pPr>
        <w:spacing w:after="0" w:line="50" w:lineRule="exact"/>
        <w:rPr>
          <w:sz w:val="20"/>
          <w:szCs w:val="20"/>
          <w:color w:val="auto"/>
        </w:rPr>
      </w:pPr>
    </w:p>
    <w:tbl>
      <w:tblPr>
        <w:tblLayout w:type="fixed"/>
        <w:tblInd w:w="2980" w:type="dxa"/>
        <w:tblCellMar>
          <w:top w:w="0" w:type="dxa"/>
          <w:left w:w="0" w:type="dxa"/>
          <w:bottom w:w="0" w:type="dxa"/>
          <w:right w:w="0" w:type="dxa"/>
        </w:tblCellMar>
      </w:tblPr>
      <w:tr>
        <w:trPr>
          <w:trHeight w:val="194"/>
        </w:trPr>
        <w:tc>
          <w:tcPr>
            <w:tcW w:w="2300" w:type="dxa"/>
            <w:vAlign w:val="bottom"/>
          </w:tcPr>
          <w:p>
            <w:pPr>
              <w:spacing w:after="0"/>
              <w:rPr>
                <w:sz w:val="20"/>
                <w:szCs w:val="20"/>
                <w:color w:val="auto"/>
              </w:rPr>
            </w:pPr>
            <w:r>
              <w:rPr>
                <w:rFonts w:ascii="Arial" w:cs="Arial" w:eastAsia="Arial" w:hAnsi="Arial"/>
                <w:sz w:val="15"/>
                <w:szCs w:val="15"/>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5"/>
                <w:szCs w:val="15"/>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276225</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00"/>
          </w:cols>
          <w:pgMar w:left="580" w:top="131" w:right="1079"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4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5"/>
        </w:trPr>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7880" w:type="dxa"/>
            <w:vAlign w:val="bottom"/>
            <w:gridSpan w:val="24"/>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shd w:val="clear" w:color="auto" w:fill="CCEEFF"/>
          </w:tcPr>
          <w:p>
            <w:pPr>
              <w:spacing w:after="0"/>
              <w:rPr>
                <w:sz w:val="18"/>
                <w:szCs w:val="18"/>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300" w:type="dxa"/>
            <w:vAlign w:val="bottom"/>
            <w:gridSpan w:val="5"/>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80" w:type="dxa"/>
            <w:vAlign w:val="bottom"/>
            <w:gridSpan w:val="24"/>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SUMMARY FINANCIAL DATA</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2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5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5360" w:type="dxa"/>
            <w:vAlign w:val="bottom"/>
            <w:gridSpan w:val="9"/>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980" w:type="dxa"/>
            <w:vAlign w:val="bottom"/>
            <w:gridSpan w:val="22"/>
            <w:shd w:val="clear" w:color="auto" w:fill="CCEEFF"/>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CAUTIONARY NOTE REGARDING FORWARD-LOOKING STATEMENTS</w:t>
              </w:r>
            </w:hyperlink>
          </w:p>
        </w:tc>
        <w:tc>
          <w:tcPr>
            <w:tcW w:w="1900" w:type="dxa"/>
            <w:vAlign w:val="bottom"/>
            <w:gridSpan w:val="2"/>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9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USE OF PROCEEDS</w:t>
              </w:r>
            </w:hyperlink>
          </w:p>
        </w:tc>
        <w:tc>
          <w:tcPr>
            <w:tcW w:w="1900" w:type="dxa"/>
            <w:vAlign w:val="bottom"/>
            <w:gridSpan w:val="2"/>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80" w:type="dxa"/>
            <w:vAlign w:val="bottom"/>
            <w:gridSpan w:val="24"/>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DIVIDEND POLICY</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620" w:type="dxa"/>
            <w:vAlign w:val="bottom"/>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6260" w:type="dxa"/>
            <w:vAlign w:val="bottom"/>
            <w:gridSpan w:val="14"/>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80" w:type="dxa"/>
            <w:vAlign w:val="bottom"/>
            <w:gridSpan w:val="24"/>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CAPITALIZATION</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920" w:type="dxa"/>
            <w:vAlign w:val="bottom"/>
            <w:tcBorders>
              <w:bottom w:val="single" w:sz="8" w:color="0000EE"/>
            </w:tcBorders>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w:t>
              </w:r>
            </w:hyperlink>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RESULTS OF OPERATIONS</w:t>
              </w:r>
            </w:hyperlink>
          </w:p>
        </w:tc>
        <w:tc>
          <w:tcPr>
            <w:tcW w:w="300" w:type="dxa"/>
            <w:vAlign w:val="bottom"/>
            <w:gridSpan w:val="5"/>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1880" w:type="dxa"/>
            <w:vAlign w:val="bottom"/>
            <w:gridSpan w:val="12"/>
            <w:shd w:val="clear" w:color="auto" w:fill="CCEEFF"/>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PROPOSED BUSINESS</w:t>
              </w:r>
            </w:hyperlink>
          </w:p>
        </w:tc>
        <w:tc>
          <w:tcPr>
            <w:tcW w:w="6000" w:type="dxa"/>
            <w:vAlign w:val="bottom"/>
            <w:gridSpan w:val="12"/>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80" w:type="dxa"/>
            <w:vAlign w:val="bottom"/>
            <w:gridSpan w:val="1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6000" w:type="dxa"/>
            <w:vAlign w:val="bottom"/>
            <w:gridSpan w:val="12"/>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106</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6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7"/>
              </w:rPr>
            </w:pPr>
            <w:hyperlink w:anchor="page120">
              <w:r>
                <w:rPr>
                  <w:rFonts w:ascii="Arial" w:cs="Arial" w:eastAsia="Arial" w:hAnsi="Arial"/>
                  <w:sz w:val="18"/>
                  <w:szCs w:val="18"/>
                  <w:color w:val="0000EE"/>
                  <w:w w:val="97"/>
                </w:rPr>
                <w:t>PRINCIPAL STOCKHOLDERS</w:t>
              </w:r>
            </w:hyperlink>
          </w:p>
        </w:tc>
        <w:tc>
          <w:tcPr>
            <w:tcW w:w="5420" w:type="dxa"/>
            <w:vAlign w:val="bottom"/>
            <w:tcBorders>
              <w:bottom w:val="single" w:sz="8" w:color="CCEEFF"/>
            </w:tcBorders>
            <w:gridSpan w:val="10"/>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4"/>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PARTY TRANSACTIONS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120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DESCRIPTION OF SECURITIES</w:t>
              </w:r>
            </w:hyperlink>
          </w:p>
        </w:tc>
        <w:tc>
          <w:tcPr>
            <w:tcW w:w="5280" w:type="dxa"/>
            <w:vAlign w:val="bottom"/>
            <w:tcBorders>
              <w:bottom w:val="single" w:sz="8" w:color="CCEEFF"/>
            </w:tcBorders>
            <w:gridSpan w:val="8"/>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SHARES ELIGIBLE FOR FUTURE SALE</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127</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9"/>
              </w:rPr>
            </w:pPr>
            <w:hyperlink w:anchor="page132">
              <w:r>
                <w:rPr>
                  <w:rFonts w:ascii="Arial" w:cs="Arial" w:eastAsia="Arial" w:hAnsi="Arial"/>
                  <w:sz w:val="18"/>
                  <w:szCs w:val="18"/>
                  <w:color w:val="0000EE"/>
                  <w:w w:val="99"/>
                </w:rPr>
                <w:t>MATERIAL U.S. FEDERAL INCOME TAX CONSIDERATIONS</w:t>
              </w:r>
            </w:hyperlink>
          </w:p>
        </w:tc>
        <w:tc>
          <w:tcPr>
            <w:tcW w:w="284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UNDERWRITING</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137</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9"/>
              </w:rPr>
            </w:pPr>
            <w:hyperlink w:anchor="page149">
              <w:r>
                <w:rPr>
                  <w:rFonts w:ascii="Arial" w:cs="Arial" w:eastAsia="Arial" w:hAnsi="Arial"/>
                  <w:sz w:val="18"/>
                  <w:szCs w:val="18"/>
                  <w:color w:val="0000EE"/>
                  <w:w w:val="99"/>
                </w:rPr>
                <w:t>LEGAL MATTERS</w:t>
              </w:r>
            </w:hyperlink>
          </w:p>
        </w:tc>
        <w:tc>
          <w:tcPr>
            <w:tcW w:w="638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80" w:type="dxa"/>
            <w:vAlign w:val="bottom"/>
            <w:gridSpan w:val="24"/>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EXPERTS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49">
              <w:r>
                <w:rPr>
                  <w:rFonts w:ascii="Arial" w:cs="Arial" w:eastAsia="Arial" w:hAnsi="Arial"/>
                  <w:sz w:val="18"/>
                  <w:szCs w:val="18"/>
                  <w:color w:val="0000EE"/>
                  <w:w w:val="93"/>
                </w:rPr>
                <w:t>146</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WHERE YOU CAN FIND ADDITIONAL INFORMATION</w:t>
              </w:r>
            </w:hyperlink>
          </w:p>
        </w:tc>
        <w:tc>
          <w:tcPr>
            <w:tcW w:w="3320" w:type="dxa"/>
            <w:vAlign w:val="bottom"/>
            <w:tcBorders>
              <w:bottom w:val="single" w:sz="8" w:color="CCEEFF"/>
            </w:tcBorders>
            <w:gridSpan w:val="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3140" w:type="dxa"/>
            <w:vAlign w:val="bottom"/>
            <w:tcBorders>
              <w:bottom w:val="single" w:sz="8" w:color="0000EE"/>
            </w:tcBorders>
            <w:gridSpan w:val="1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INDEX TO FINANCIAL STATEMENTS</w:t>
              </w:r>
            </w:hyperlink>
          </w:p>
        </w:tc>
        <w:tc>
          <w:tcPr>
            <w:tcW w:w="474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F-1</w:t>
              </w:r>
            </w:hyperlink>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-3874135</wp:posOffset>
            </wp:positionV>
            <wp:extent cx="4997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37" w:lineRule="exact"/>
        <w:rPr>
          <w:sz w:val="20"/>
          <w:szCs w:val="20"/>
          <w:color w:val="auto"/>
        </w:rPr>
      </w:pPr>
    </w:p>
    <w:p>
      <w:pPr>
        <w:ind w:left="1260" w:right="699" w:firstLine="36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2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17" w:lineRule="exact"/>
        <w:rPr>
          <w:sz w:val="20"/>
          <w:szCs w:val="20"/>
          <w:color w:val="auto"/>
        </w:rPr>
      </w:pPr>
    </w:p>
    <w:p>
      <w:pPr>
        <w:ind w:left="1820" w:right="57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130" w:lineRule="exact"/>
        <w:rPr>
          <w:rFonts w:ascii="Arial" w:cs="Arial" w:eastAsia="Arial" w:hAnsi="Arial"/>
          <w:sz w:val="18"/>
          <w:szCs w:val="18"/>
          <w:color w:val="auto"/>
        </w:rPr>
      </w:pPr>
    </w:p>
    <w:p>
      <w:pPr>
        <w:ind w:left="1820" w:right="97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“company,” “we,” “us” “our” or “our company” refers to ROC Energy Acquisition Corp., a Delaware corporation;</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directors and director nominees;</w:t>
      </w:r>
    </w:p>
    <w:p>
      <w:pPr>
        <w:spacing w:after="0" w:line="117" w:lineRule="exact"/>
        <w:rPr>
          <w:rFonts w:ascii="Arial" w:cs="Arial" w:eastAsia="Arial" w:hAnsi="Arial"/>
          <w:sz w:val="18"/>
          <w:szCs w:val="18"/>
          <w:color w:val="auto"/>
        </w:rPr>
      </w:pPr>
    </w:p>
    <w:p>
      <w:pPr>
        <w:ind w:left="1820" w:right="65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“EarlyBirdCapital” or the “representative” refers to EarlyBirdCapital, Inc., the representative of the underwriters;</w:t>
      </w:r>
    </w:p>
    <w:p>
      <w:pPr>
        <w:spacing w:after="0" w:line="62" w:lineRule="exact"/>
        <w:rPr>
          <w:rFonts w:ascii="Arial" w:cs="Arial" w:eastAsia="Arial" w:hAnsi="Arial"/>
          <w:sz w:val="18"/>
          <w:szCs w:val="18"/>
          <w:color w:val="auto"/>
        </w:rPr>
      </w:pPr>
    </w:p>
    <w:p>
      <w:pPr>
        <w:ind w:left="1820" w:right="439" w:hanging="182"/>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 to the 4,312,500 shares of common stock held or controlled by our insiders (as defined below) prior to this offering, which include up to an aggregate of 562,500 shares of common stock subject to forfeiture by our insiders to the extent that the underwriters’ over-allotment option is not exercised in full or in part;</w:t>
      </w:r>
    </w:p>
    <w:p>
      <w:pPr>
        <w:spacing w:after="0" w:line="92" w:lineRule="exact"/>
        <w:rPr>
          <w:rFonts w:ascii="Arial" w:cs="Arial" w:eastAsia="Arial" w:hAnsi="Arial"/>
          <w:sz w:val="18"/>
          <w:szCs w:val="18"/>
          <w:color w:val="auto"/>
        </w:rPr>
      </w:pPr>
    </w:p>
    <w:p>
      <w:pPr>
        <w:ind w:left="1820" w:right="9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other holders of our founder shares prior to this offering, if any, but excludes the holders of the representative founder shares;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refer to our officers and directors;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“insiders” refer to our officers, directors, sponsor and any holder of our founder shares;</w:t>
      </w:r>
    </w:p>
    <w:p>
      <w:pPr>
        <w:spacing w:after="0" w:line="117" w:lineRule="exact"/>
        <w:rPr>
          <w:rFonts w:ascii="Arial" w:cs="Arial" w:eastAsia="Arial" w:hAnsi="Arial"/>
          <w:sz w:val="18"/>
          <w:szCs w:val="18"/>
          <w:color w:val="auto"/>
        </w:rPr>
      </w:pPr>
    </w:p>
    <w:p>
      <w:pPr>
        <w:ind w:left="1820" w:right="599" w:hanging="182"/>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shares” are to the shares of common stock included within the private units being purchased by our sponsor in the private placement and any additional shares of common stock included within private units issued upon conversion of working capital loans as described herein;</w:t>
      </w:r>
    </w:p>
    <w:p>
      <w:pPr>
        <w:spacing w:after="0" w:line="70" w:lineRule="exact"/>
        <w:rPr>
          <w:rFonts w:ascii="Arial" w:cs="Arial" w:eastAsia="Arial" w:hAnsi="Arial"/>
          <w:sz w:val="17"/>
          <w:szCs w:val="17"/>
          <w:color w:val="auto"/>
        </w:rPr>
      </w:pPr>
    </w:p>
    <w:p>
      <w:pPr>
        <w:ind w:left="1820" w:right="459" w:hanging="182"/>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units” refers to the units being purchased by our sponsor in the private placement to occur simultaneously with the consummation of this offering and any additional units issued upon conversion of working capital loans as described herein, each private unit consisting of one share of common stock and one right to receive one-tenth of a share of common stock;</w:t>
      </w:r>
    </w:p>
    <w:p>
      <w:pPr>
        <w:spacing w:after="0" w:line="78" w:lineRule="exact"/>
        <w:rPr>
          <w:rFonts w:ascii="Arial" w:cs="Arial" w:eastAsia="Arial" w:hAnsi="Arial"/>
          <w:sz w:val="18"/>
          <w:szCs w:val="18"/>
          <w:color w:val="auto"/>
        </w:rPr>
      </w:pPr>
    </w:p>
    <w:p>
      <w:pPr>
        <w:ind w:left="1820" w:right="499" w:hanging="182"/>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rights” refer to the rights included within the private units being purchased by our sponsor in the private placement and any rights included within private units issued upon conversion of working capital loans as described herein;</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rights” refer to the rights which are being sold as part of the units in this offering;</w:t>
      </w:r>
    </w:p>
    <w:p>
      <w:pPr>
        <w:spacing w:after="0" w:line="117" w:lineRule="exact"/>
        <w:rPr>
          <w:rFonts w:ascii="Arial" w:cs="Arial" w:eastAsia="Arial" w:hAnsi="Arial"/>
          <w:sz w:val="18"/>
          <w:szCs w:val="18"/>
          <w:color w:val="auto"/>
        </w:rPr>
      </w:pPr>
    </w:p>
    <w:p>
      <w:pPr>
        <w:ind w:left="1820" w:right="439" w:hanging="182"/>
        <w:spacing w:after="0" w:line="25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79" w:lineRule="exact"/>
        <w:rPr>
          <w:rFonts w:ascii="Arial" w:cs="Arial" w:eastAsia="Arial" w:hAnsi="Arial"/>
          <w:sz w:val="18"/>
          <w:szCs w:val="18"/>
          <w:color w:val="auto"/>
        </w:rPr>
      </w:pPr>
    </w:p>
    <w:p>
      <w:pPr>
        <w:jc w:val="both"/>
        <w:ind w:left="1820" w:right="679" w:hanging="182"/>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insiders to the extent our insiders purchase public shares, provided that each insider’s status as a “public stockholder” will only exist with respect to such public shares;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ROC Energy Holdings, LLC, a Delaware limited liability company; and</w:t>
      </w:r>
    </w:p>
    <w:p>
      <w:pPr>
        <w:spacing w:after="0" w:line="117" w:lineRule="exact"/>
        <w:rPr>
          <w:rFonts w:ascii="Arial" w:cs="Arial" w:eastAsia="Arial" w:hAnsi="Arial"/>
          <w:sz w:val="18"/>
          <w:szCs w:val="18"/>
          <w:color w:val="auto"/>
        </w:rPr>
      </w:pPr>
    </w:p>
    <w:p>
      <w:pPr>
        <w:ind w:left="1820" w:right="41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“rights” are to our rights sold as part of the units in this offering (whether they are purchased in this offering or thereafter in the open market) and the private rights;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79" w:hanging="182"/>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“representative founder shares” are to the 150,000 shares of common stock that we have issued to EarlyBirdCapital and/or its designees (for the avoidance of doubt, such shares of common stock will not be “public shares”).</w:t>
      </w:r>
    </w:p>
    <w:p>
      <w:pPr>
        <w:spacing w:after="0" w:line="103" w:lineRule="exact"/>
        <w:rPr>
          <w:sz w:val="20"/>
          <w:szCs w:val="20"/>
          <w:color w:val="auto"/>
        </w:rPr>
      </w:pPr>
    </w:p>
    <w:p>
      <w:pPr>
        <w:ind w:left="1280" w:right="479" w:firstLine="360"/>
        <w:spacing w:after="0" w:line="261" w:lineRule="auto"/>
        <w:rPr>
          <w:sz w:val="20"/>
          <w:szCs w:val="20"/>
          <w:color w:val="auto"/>
        </w:rPr>
      </w:pPr>
      <w:r>
        <w:rPr>
          <w:rFonts w:ascii="Arial" w:cs="Arial" w:eastAsia="Arial" w:hAnsi="Arial"/>
          <w:sz w:val="18"/>
          <w:szCs w:val="18"/>
          <w:i w:val="1"/>
          <w:iCs w:val="1"/>
          <w:color w:val="auto"/>
        </w:rPr>
        <w:t>Each unit consists of one share of common stock and one right to receive one-tenth (1/10) of a share of common stock upon the consummation of an initial business combination</w:t>
      </w:r>
    </w:p>
    <w:p>
      <w:pPr>
        <w:spacing w:after="0" w:line="103" w:lineRule="exact"/>
        <w:rPr>
          <w:sz w:val="20"/>
          <w:szCs w:val="20"/>
          <w:color w:val="auto"/>
        </w:rPr>
      </w:pPr>
    </w:p>
    <w:p>
      <w:pPr>
        <w:ind w:left="1280" w:right="499" w:firstLine="360"/>
        <w:spacing w:after="0" w:line="248"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562,500 founder shares.</w:t>
      </w:r>
    </w:p>
    <w:p>
      <w:pPr>
        <w:spacing w:after="0" w:line="114" w:lineRule="exact"/>
        <w:rPr>
          <w:sz w:val="20"/>
          <w:szCs w:val="20"/>
          <w:color w:val="auto"/>
        </w:rPr>
      </w:pPr>
    </w:p>
    <w:p>
      <w:pPr>
        <w:ind w:left="1280" w:right="619" w:firstLine="360"/>
        <w:spacing w:after="0" w:line="248"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1" w:lineRule="exact"/>
        <w:rPr>
          <w:sz w:val="20"/>
          <w:szCs w:val="20"/>
          <w:color w:val="auto"/>
        </w:rPr>
      </w:pPr>
    </w:p>
    <w:p>
      <w:pPr>
        <w:jc w:val="both"/>
        <w:ind w:left="1280" w:right="399" w:firstLine="360"/>
        <w:spacing w:after="0" w:line="270"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7"/>
          <w:szCs w:val="17"/>
          <w:color w:val="auto"/>
        </w:rPr>
        <w:t>We are a newly incorporated Delaware corporation structured as a blank check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potential business combination target, and we have not, nor has anyone on our behalf, initiated any substantive discussions, directly or indirectly, with any potential target regarding entering into a business combination with us.</w:t>
      </w:r>
    </w:p>
    <w:p>
      <w:pPr>
        <w:spacing w:after="0" w:line="112" w:lineRule="exact"/>
        <w:rPr>
          <w:sz w:val="20"/>
          <w:szCs w:val="20"/>
          <w:color w:val="auto"/>
        </w:rPr>
      </w:pPr>
    </w:p>
    <w:p>
      <w:pPr>
        <w:ind w:left="1280" w:right="579" w:firstLine="360"/>
        <w:spacing w:after="0" w:line="259" w:lineRule="auto"/>
        <w:rPr>
          <w:sz w:val="20"/>
          <w:szCs w:val="20"/>
          <w:color w:val="auto"/>
        </w:rPr>
      </w:pPr>
      <w:r>
        <w:rPr>
          <w:rFonts w:ascii="Arial" w:cs="Arial" w:eastAsia="Arial" w:hAnsi="Arial"/>
          <w:sz w:val="17"/>
          <w:szCs w:val="17"/>
          <w:color w:val="auto"/>
        </w:rPr>
        <w:t>While we may pursue an initial business combination target in any business, industry or geographical location, we intend to focus our acquisition efforts on the non-operated, upstream oil and gas sector in the U.S. We believe that the significant opportunity set, lack of competition and maturity of the production base, combined with low-risk development, has generated a compelling opportunity to create a dividend-paying oil and gas company focused on consolidating the asset class.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1280" w:right="579" w:firstLine="360"/>
        <w:spacing w:after="0" w:line="241" w:lineRule="auto"/>
        <w:rPr>
          <w:sz w:val="20"/>
          <w:szCs w:val="20"/>
          <w:color w:val="auto"/>
        </w:rPr>
      </w:pPr>
      <w:r>
        <w:rPr>
          <w:rFonts w:ascii="Arial" w:cs="Arial" w:eastAsia="Arial" w:hAnsi="Arial"/>
          <w:sz w:val="18"/>
          <w:szCs w:val="18"/>
          <w:color w:val="auto"/>
        </w:rPr>
        <w:t>The non-operated segment of the oil and gas sector is highly fragmented, with a significant supply of high-quality producing and non-producing assets. Additionally, the sector is generally uncompetitive with only one pure-play, publicly held non-operated company. Energy-specific private equity firms have pulled back from investing in non-operated focused businesses due to lack of exit alternatives and overall lack of investible capital at the fund level.</w:t>
      </w:r>
    </w:p>
    <w:p>
      <w:pPr>
        <w:spacing w:after="0" w:line="122"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Since the last public non-operated company came to market in 2007, the profile of the onshore upstream sector has changed dramatically. U.S. production has increased over 100% in natural gas and over 150% in oil. Horizontal drilling costs have decreased by over 50%, while ultimate economic recoveries have increased by well over 100% in shale basins. While the early days of shale drilling were defined by resource delineation, well-space testing and under-built midstream infrastructure, today’s shale business harnesses the knowledge gained and infrastructure built over the past 15 years to develop the resource reliably, predictably and economically. The assets that are being developed now are well understood and have predictable ultimate economic recoveries which we believe can provide significant upside to investors.</w:t>
      </w:r>
    </w:p>
    <w:p>
      <w:pPr>
        <w:spacing w:after="0" w:line="111"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color w:val="auto"/>
        </w:rPr>
        <w:t>We believe that our knowledge and experience in the sector, combined with the lack of competition, presents the opportunity to buy high quality assets or businesses at compelling purchase prices with attractive reinvestment opportunities while still paying a dividend. We believe that owners of non-operated assets, funds and companies will find a merger or sale to a special purpose acquisition company to be a very compelling proposition, given the paucity viable alternatives.</w:t>
      </w:r>
    </w:p>
    <w:p>
      <w:pPr>
        <w:spacing w:after="0" w:line="107" w:lineRule="exact"/>
        <w:rPr>
          <w:sz w:val="20"/>
          <w:szCs w:val="20"/>
          <w:color w:val="auto"/>
        </w:rPr>
      </w:pPr>
    </w:p>
    <w:p>
      <w:pPr>
        <w:ind w:left="1280" w:right="559" w:firstLine="360"/>
        <w:spacing w:after="0" w:line="308" w:lineRule="auto"/>
        <w:rPr>
          <w:sz w:val="20"/>
          <w:szCs w:val="20"/>
          <w:color w:val="auto"/>
        </w:rPr>
      </w:pPr>
      <w:r>
        <w:rPr>
          <w:rFonts w:ascii="Arial" w:cs="Arial" w:eastAsia="Arial" w:hAnsi="Arial"/>
          <w:sz w:val="17"/>
          <w:szCs w:val="17"/>
          <w:color w:val="auto"/>
        </w:rPr>
        <w:t>In terms of market size, based on public filings of operators, approximately 30% of all onshore producing assets in the U.S. are non-operated, making the total market over $500 billion in the U.S. alone.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color w:val="auto"/>
        </w:rPr>
        <w:t>Additionally, based on public filings of operators, the value of non-producing, non-operated leasehold assets is expected to exceed $200 billion over the next 20 years at current development pace, making this a compelling investment opportunity. The Annual Energy Outlook 2021 by the Energy Information Administration (“EIA”) forecasts a growing onshore U.S. market with tight oil production growing by over 25%, natural gas liquids production growing by over 20% and natural gas from shale production growing by over 45% through 2050, even with renewables projected to grow over 200% during the same time period.</w:t>
      </w:r>
    </w:p>
    <w:p>
      <w:pPr>
        <w:spacing w:after="0" w:line="97" w:lineRule="exact"/>
        <w:rPr>
          <w:sz w:val="20"/>
          <w:szCs w:val="20"/>
          <w:color w:val="auto"/>
        </w:rPr>
      </w:pPr>
    </w:p>
    <w:p>
      <w:pPr>
        <w:jc w:val="both"/>
        <w:ind w:left="1280" w:right="399" w:firstLine="360"/>
        <w:spacing w:after="0" w:line="263" w:lineRule="auto"/>
        <w:rPr>
          <w:sz w:val="20"/>
          <w:szCs w:val="20"/>
          <w:color w:val="auto"/>
        </w:rPr>
      </w:pPr>
      <w:r>
        <w:rPr>
          <w:rFonts w:ascii="Arial" w:cs="Arial" w:eastAsia="Arial" w:hAnsi="Arial"/>
          <w:sz w:val="18"/>
          <w:szCs w:val="18"/>
          <w:color w:val="auto"/>
        </w:rPr>
        <w:t>Drilling and completion efficiencies and technological gains have enabled drilling and completion costs to be cut in half, if not greater in many cases. The overall capital outlay per well is much less, which boosts drilling economics and improves overall corporate returns.</w:t>
      </w:r>
    </w:p>
    <w:p>
      <w:pPr>
        <w:spacing w:after="0" w:line="116" w:lineRule="exact"/>
        <w:rPr>
          <w:sz w:val="20"/>
          <w:szCs w:val="20"/>
          <w:color w:val="auto"/>
        </w:rPr>
      </w:pPr>
    </w:p>
    <w:p>
      <w:pPr>
        <w:ind w:left="1280" w:right="539" w:firstLine="360"/>
        <w:spacing w:after="0" w:line="263" w:lineRule="auto"/>
        <w:rPr>
          <w:sz w:val="20"/>
          <w:szCs w:val="20"/>
          <w:color w:val="auto"/>
        </w:rPr>
      </w:pPr>
      <w:r>
        <w:rPr>
          <w:rFonts w:ascii="Arial" w:cs="Arial" w:eastAsia="Arial" w:hAnsi="Arial"/>
          <w:sz w:val="18"/>
          <w:szCs w:val="18"/>
          <w:color w:val="auto"/>
        </w:rPr>
        <w:t>Since 2000, over $100 billion of midstream infrastructure has been developed, allowing hydrocarbons to get to market at a low cost. Additionally, domestic oil and natural gas have entered the international market through large export channels, which has helped support pricing.</w:t>
      </w:r>
    </w:p>
    <w:p>
      <w:pPr>
        <w:spacing w:after="0" w:line="116" w:lineRule="exact"/>
        <w:rPr>
          <w:sz w:val="20"/>
          <w:szCs w:val="20"/>
          <w:color w:val="auto"/>
        </w:rPr>
      </w:pPr>
    </w:p>
    <w:p>
      <w:pPr>
        <w:ind w:left="1280" w:right="539" w:firstLine="360"/>
        <w:spacing w:after="0" w:line="263" w:lineRule="auto"/>
        <w:rPr>
          <w:sz w:val="20"/>
          <w:szCs w:val="20"/>
          <w:color w:val="auto"/>
        </w:rPr>
      </w:pPr>
      <w:r>
        <w:rPr>
          <w:rFonts w:ascii="Arial" w:cs="Arial" w:eastAsia="Arial" w:hAnsi="Arial"/>
          <w:sz w:val="18"/>
          <w:szCs w:val="18"/>
          <w:color w:val="auto"/>
        </w:rPr>
        <w:t>The environmental footprint and emissions of development has decreased as operators have leveraged the buildout in midstream infrastructure and leverage existing development infrastructure to produce hydrocarbons responsibly.</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Competitive Advantages</w:t>
      </w:r>
    </w:p>
    <w:p>
      <w:pPr>
        <w:spacing w:after="0" w:line="148"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There is only one public company with a focus on acquiring non-operated assets, with an enterprise value of roughly $2 billion. Public companies that directly manage and operate assets are instead net sellers of non-operated assets, which makes them potential partners and sources of deals for us. Currently, the fundraising environment for energy private equity is extremely challenging due to underperformance as an asset class and due to environmental, social and governance issues identified by limited partners. The remaining capital and liquidity within existing funds is largely dedicated to operated upstream strategies and we do not expect to have any material competition from these types of funds. Other private equity commitments to oil and gas companies have decreased substantially, limiting liquidity in the sector and thus hurting valuations of targets, which makes our strategy even more attractive for investors. In addition, non-operated funds, which are funds that have pursued non-operated assets as a business plan, are approaching their harvest periods and are largely unable to raise new funds due to the same performance issues and environmental, social and governance issues identified by their traditional funding sources.</w:t>
      </w:r>
    </w:p>
    <w:p>
      <w:pPr>
        <w:spacing w:after="0" w:line="111" w:lineRule="exact"/>
        <w:rPr>
          <w:sz w:val="20"/>
          <w:szCs w:val="20"/>
          <w:color w:val="auto"/>
        </w:rPr>
      </w:pPr>
    </w:p>
    <w:p>
      <w:pPr>
        <w:ind w:left="1280" w:right="439" w:firstLine="360"/>
        <w:spacing w:after="0" w:line="301" w:lineRule="auto"/>
        <w:rPr>
          <w:sz w:val="20"/>
          <w:szCs w:val="20"/>
          <w:color w:val="auto"/>
        </w:rPr>
      </w:pPr>
      <w:r>
        <w:rPr>
          <w:rFonts w:ascii="Arial" w:cs="Arial" w:eastAsia="Arial" w:hAnsi="Arial"/>
          <w:sz w:val="16"/>
          <w:szCs w:val="16"/>
          <w:color w:val="auto"/>
        </w:rPr>
        <w:t>Other sources of competition might come from new traditional initial public offerings, or IPOs, which is a market that is largely shut, as evidenced by the fact that in the last 15 years, there has not been a single traditional IPO of a non-operated focused company. The Acquisition and Divestitures (“A&amp;D”) market remains challenging for sellers of non-operated assets due to a lack of competition and oversupply of assets.</w:t>
      </w:r>
    </w:p>
    <w:p>
      <w:pPr>
        <w:spacing w:after="0" w:line="90" w:lineRule="exact"/>
        <w:rPr>
          <w:sz w:val="20"/>
          <w:szCs w:val="20"/>
          <w:color w:val="auto"/>
        </w:rPr>
      </w:pPr>
    </w:p>
    <w:p>
      <w:pPr>
        <w:ind w:left="1280" w:right="499" w:firstLine="360"/>
        <w:spacing w:after="0" w:line="275" w:lineRule="auto"/>
        <w:rPr>
          <w:sz w:val="20"/>
          <w:szCs w:val="20"/>
          <w:color w:val="auto"/>
        </w:rPr>
      </w:pPr>
      <w:r>
        <w:rPr>
          <w:rFonts w:ascii="Arial" w:cs="Arial" w:eastAsia="Arial" w:hAnsi="Arial"/>
          <w:sz w:val="17"/>
          <w:szCs w:val="17"/>
          <w:color w:val="auto"/>
        </w:rPr>
        <w:t>We believe our management is uniquely suited to capitalize on this opportunity and generate attractive returns given our deep energy investing experience and relationships in the sector, which we believe will help us in deal-sourcing, asset selection, underwriting and financing. A non-operated strategy allows us to utilize our deep relationships with the best operators and knowledge of quality assets to build a well-run balanced portfolio of properties that benefits from diversification — a key risk mitigation tool.</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Experienced Management Team and Special Advisors.</w:t>
      </w:r>
    </w:p>
    <w:p>
      <w:pPr>
        <w:spacing w:after="0" w:line="148" w:lineRule="exact"/>
        <w:rPr>
          <w:sz w:val="20"/>
          <w:szCs w:val="20"/>
          <w:color w:val="auto"/>
        </w:rPr>
      </w:pPr>
    </w:p>
    <w:p>
      <w:pPr>
        <w:ind w:left="1280" w:right="419" w:firstLine="360"/>
        <w:spacing w:after="0" w:line="272" w:lineRule="auto"/>
        <w:rPr>
          <w:sz w:val="20"/>
          <w:szCs w:val="20"/>
          <w:color w:val="auto"/>
        </w:rPr>
      </w:pPr>
      <w:r>
        <w:rPr>
          <w:rFonts w:ascii="Arial" w:cs="Arial" w:eastAsia="Arial" w:hAnsi="Arial"/>
          <w:sz w:val="17"/>
          <w:szCs w:val="17"/>
          <w:color w:val="auto"/>
        </w:rPr>
        <w:t>Our management team and strategic advisors have a substantial energy-focused investment track record and advisory experience, significant knowledge of global and domestic markets, access to proprietary deal flow throughout the United States, and strong relationships with business leaders, entrepreneurs and investors. We believe their backgrounds provide us with access to proprietary investment opportunities. In addition, members of management team have significant prior experience in consummating merger and acquisition transactions, including executing initial business combinations for blank check companies. Our management team and strategic advisors include the following individuals:</w:t>
      </w:r>
    </w:p>
    <w:p>
      <w:pPr>
        <w:spacing w:after="0" w:line="106" w:lineRule="exact"/>
        <w:rPr>
          <w:sz w:val="20"/>
          <w:szCs w:val="20"/>
          <w:color w:val="auto"/>
        </w:rPr>
      </w:pPr>
    </w:p>
    <w:p>
      <w:pPr>
        <w:ind w:left="1280" w:right="559" w:firstLine="360"/>
        <w:spacing w:after="0" w:line="289" w:lineRule="auto"/>
        <w:rPr>
          <w:sz w:val="20"/>
          <w:szCs w:val="20"/>
          <w:color w:val="auto"/>
        </w:rPr>
      </w:pPr>
      <w:r>
        <w:rPr>
          <w:rFonts w:ascii="Arial" w:cs="Arial" w:eastAsia="Arial" w:hAnsi="Arial"/>
          <w:sz w:val="17"/>
          <w:szCs w:val="17"/>
          <w:b w:val="1"/>
          <w:bCs w:val="1"/>
          <w:color w:val="auto"/>
        </w:rPr>
        <w:t>Joe Drysdale</w:t>
      </w:r>
      <w:r>
        <w:rPr>
          <w:rFonts w:ascii="Arial" w:cs="Arial" w:eastAsia="Arial" w:hAnsi="Arial"/>
          <w:sz w:val="17"/>
          <w:szCs w:val="17"/>
          <w:color w:val="auto"/>
        </w:rPr>
        <w:t>, our director and Chairman of the board, is the co-founder and a Managing Partner of</w:t>
      </w:r>
      <w:r>
        <w:rPr>
          <w:rFonts w:ascii="Arial" w:cs="Arial" w:eastAsia="Arial" w:hAnsi="Arial"/>
          <w:sz w:val="17"/>
          <w:szCs w:val="17"/>
          <w:b w:val="1"/>
          <w:bCs w:val="1"/>
          <w:color w:val="auto"/>
        </w:rPr>
        <w:t xml:space="preserve"> </w:t>
      </w:r>
      <w:r>
        <w:rPr>
          <w:rFonts w:ascii="Arial" w:cs="Arial" w:eastAsia="Arial" w:hAnsi="Arial"/>
          <w:sz w:val="17"/>
          <w:szCs w:val="17"/>
          <w:color w:val="auto"/>
        </w:rPr>
        <w:t>Fifth Partners, where he has overseen all real estate investment platforms since the firm was founded in 2015. Mr. Drysdale has over 15 years of investing and management experience, primarily in the real estate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99"/>
        <w:spacing w:after="0" w:line="248" w:lineRule="auto"/>
        <w:rPr>
          <w:sz w:val="20"/>
          <w:szCs w:val="20"/>
          <w:color w:val="auto"/>
        </w:rPr>
      </w:pPr>
      <w:r>
        <w:rPr>
          <w:rFonts w:ascii="Arial" w:cs="Arial" w:eastAsia="Arial" w:hAnsi="Arial"/>
          <w:sz w:val="18"/>
          <w:szCs w:val="18"/>
          <w:color w:val="auto"/>
        </w:rPr>
        <w:t>and energy sectors, as well as with early stage companies across diverse industries. He is an active member of various civic organizations in his community in Dallas, Texas. Mr. Drysdale received a B.A. from University of Texas.</w:t>
      </w:r>
    </w:p>
    <w:p>
      <w:pPr>
        <w:spacing w:after="0" w:line="97"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b w:val="1"/>
          <w:bCs w:val="1"/>
          <w:color w:val="auto"/>
        </w:rPr>
        <w:t>Daniel Kimes</w:t>
      </w:r>
      <w:r>
        <w:rPr>
          <w:rFonts w:ascii="Arial" w:cs="Arial" w:eastAsia="Arial" w:hAnsi="Arial"/>
          <w:sz w:val="18"/>
          <w:szCs w:val="18"/>
          <w:color w:val="auto"/>
        </w:rPr>
        <w:t>, our director and Chief Executive Officer since inception, is a Managing Director at Arch</w:t>
      </w:r>
      <w:r>
        <w:rPr>
          <w:rFonts w:ascii="Arial" w:cs="Arial" w:eastAsia="Arial" w:hAnsi="Arial"/>
          <w:sz w:val="18"/>
          <w:szCs w:val="18"/>
          <w:b w:val="1"/>
          <w:bCs w:val="1"/>
          <w:color w:val="auto"/>
        </w:rPr>
        <w:t xml:space="preserve"> </w:t>
      </w:r>
      <w:r>
        <w:rPr>
          <w:rFonts w:ascii="Arial" w:cs="Arial" w:eastAsia="Arial" w:hAnsi="Arial"/>
          <w:sz w:val="18"/>
          <w:szCs w:val="18"/>
          <w:color w:val="auto"/>
        </w:rPr>
        <w:t>Energy Partners, where he has worked since April 2020 and is responsible for deal origination, underwriting, and risk mitigation. From January 2020 to March 2020, Mr. Kimes was an independent consultant. Prior to that, from September 2017 to December 2019, Mr. Kimes served as the co -founder, co-Chief Executive Officer and as a member of the board of directors of Shot Hollow Resources, LLC, a Carnelian Energy Capital portfolio company. Prior to Shot Hollow, from 2012 to 2017, Mr. Kimes served as the Chief Financial Officer, the interim Chief Executive Officer and as a member of the board of directors of Brigadier Oil &amp; Gas, LLC, a private equity- sponsored exploration and production company. Mr. Kimes previously worked for NGP Energy Capital Management (“NGP”), a private equity firm focused on investing in the energy sector from July 2006 to July 2008 and started his career working for RBC Capital Markets in their energy investment banking group. Mr. Kimes graduated Magna Cum Laude, Honors in Liberal Arts and Honors in Business from Southern Methodist University and earned a MBA from Stanford University. Mr. Kimes was the co-founder of the Dallas Chapter of Young Professionals in Energy and serves on the UT Dallas Energy Advisory Council.</w:t>
      </w:r>
    </w:p>
    <w:p>
      <w:pPr>
        <w:spacing w:after="0" w:line="122" w:lineRule="exact"/>
        <w:rPr>
          <w:sz w:val="20"/>
          <w:szCs w:val="20"/>
          <w:color w:val="auto"/>
        </w:rPr>
      </w:pPr>
    </w:p>
    <w:p>
      <w:pPr>
        <w:ind w:left="1280" w:right="579" w:firstLine="360"/>
        <w:spacing w:after="0" w:line="268" w:lineRule="auto"/>
        <w:rPr>
          <w:sz w:val="20"/>
          <w:szCs w:val="20"/>
          <w:color w:val="auto"/>
        </w:rPr>
      </w:pPr>
      <w:r>
        <w:rPr>
          <w:rFonts w:ascii="Arial" w:cs="Arial" w:eastAsia="Arial" w:hAnsi="Arial"/>
          <w:sz w:val="16"/>
          <w:szCs w:val="16"/>
          <w:b w:val="1"/>
          <w:bCs w:val="1"/>
          <w:color w:val="auto"/>
        </w:rPr>
        <w:t>Rosemarie Cicalese</w:t>
      </w:r>
      <w:r>
        <w:rPr>
          <w:rFonts w:ascii="Arial" w:cs="Arial" w:eastAsia="Arial" w:hAnsi="Arial"/>
          <w:sz w:val="16"/>
          <w:szCs w:val="16"/>
          <w:color w:val="auto"/>
        </w:rPr>
        <w:t>, our Chief Financial Officer since inception, has more than 15 years of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in finance, with a particular focus in the energy sector. She joined Arch Energy Partners in June 2021 to focus on developing ROC Energy Acquisition Corp. From 2004 through 2020, Ms. Cicalese worked at J.P. Morgan, most recently serving as an Executive Director in the Corporate Banking Energy Group in Houston, where she managed a reserve -based loan book, originated loans and other banking business, and led client relationships with public and private exploration and production companies. Prior to that,</w:t>
      </w:r>
    </w:p>
    <w:p>
      <w:pPr>
        <w:spacing w:after="0" w:line="2" w:lineRule="exact"/>
        <w:rPr>
          <w:sz w:val="20"/>
          <w:szCs w:val="20"/>
          <w:color w:val="auto"/>
        </w:rPr>
      </w:pPr>
    </w:p>
    <w:p>
      <w:pPr>
        <w:ind w:left="1280" w:right="459"/>
        <w:spacing w:after="0" w:line="224" w:lineRule="auto"/>
        <w:rPr>
          <w:sz w:val="20"/>
          <w:szCs w:val="20"/>
          <w:color w:val="auto"/>
        </w:rPr>
      </w:pPr>
      <w:r>
        <w:rPr>
          <w:rFonts w:ascii="Arial" w:cs="Arial" w:eastAsia="Arial" w:hAnsi="Arial"/>
          <w:sz w:val="18"/>
          <w:szCs w:val="18"/>
          <w:color w:val="auto"/>
        </w:rPr>
        <w:t>Ms. Cicalese worked in J.P. Morgan’s Commodities Group in its New York office, as an Executive Director on the Corporate Derivatives Marketing team, where she worked with oil and gas companies, executing energy risk management hedging strategies. Ms. Cicalese is actively involved with, and serves on the board of directors of, The Periwinkle Foundation, a non-profit organization that develops and provides camps, arts, and survivor programs for children with cancer and other life-threatening illnesses. Ms. Cicalese holds a Bachelor of Engineering in Engineering Management from Stevens Institute of Technology and is a 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w:t>
      </w:r>
    </w:p>
    <w:p>
      <w:pPr>
        <w:spacing w:after="0" w:line="121"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b w:val="1"/>
          <w:bCs w:val="1"/>
          <w:color w:val="auto"/>
        </w:rPr>
        <w:t>Brian Minnehan</w:t>
      </w:r>
      <w:r>
        <w:rPr>
          <w:rFonts w:ascii="Arial" w:cs="Arial" w:eastAsia="Arial" w:hAnsi="Arial"/>
          <w:sz w:val="18"/>
          <w:szCs w:val="18"/>
          <w:color w:val="auto"/>
        </w:rPr>
        <w:t>, one of our director nominees, has over 25 years of experience in finance, including 17</w:t>
      </w:r>
      <w:r>
        <w:rPr>
          <w:rFonts w:ascii="Arial" w:cs="Arial" w:eastAsia="Arial" w:hAnsi="Arial"/>
          <w:sz w:val="18"/>
          <w:szCs w:val="18"/>
          <w:b w:val="1"/>
          <w:bCs w:val="1"/>
          <w:color w:val="auto"/>
        </w:rPr>
        <w:t xml:space="preserve"> </w:t>
      </w:r>
      <w:r>
        <w:rPr>
          <w:rFonts w:ascii="Arial" w:cs="Arial" w:eastAsia="Arial" w:hAnsi="Arial"/>
          <w:sz w:val="18"/>
          <w:szCs w:val="18"/>
          <w:color w:val="auto"/>
        </w:rPr>
        <w:t>years investing in the natural resources sector. Mr. Minnehan is the founder and has been serving as Managing Partner at Acadia Resources LP, his family office focused on growth investments, since March 2020. Mr. Minnehan joined NGP in 2007, where he most recently served as a Partner until March 2020. During his tenure with NGP, Mr. Minnehan served as a member of the investment committee and was appointed the lead director for numerous portfolio companies. Prior to joining NGP, Mr. Minnehan served as a Director at Prudential Capital Group where he was responsible for sourcing, analyzing, structuring and monitoring private debt investments across all sectors of the energy industry from 2004 to 2007. His previous tenures include working at Rothschild in its investment banking group in New York and at Arthur Andersen in its corporate restructuring services group in Dallas, Bangkok and Seoul. Mr. Minnehan holds an MBA from Harvard Business School. He also holds a BBA and an MPA in Accounting from The University of Texas at Austin where he was a Sommerfeld Scholar. He is a CFA charterholder and a Certified Public Accountant (nonpracticing).</w:t>
      </w:r>
    </w:p>
    <w:p>
      <w:pPr>
        <w:spacing w:after="0" w:line="106" w:lineRule="exact"/>
        <w:rPr>
          <w:sz w:val="20"/>
          <w:szCs w:val="20"/>
          <w:color w:val="auto"/>
        </w:rPr>
      </w:pPr>
    </w:p>
    <w:p>
      <w:pPr>
        <w:ind w:left="1280" w:right="399" w:firstLine="360"/>
        <w:spacing w:after="0" w:line="270" w:lineRule="auto"/>
        <w:rPr>
          <w:sz w:val="20"/>
          <w:szCs w:val="20"/>
          <w:color w:val="auto"/>
        </w:rPr>
      </w:pPr>
      <w:r>
        <w:rPr>
          <w:rFonts w:ascii="Arial" w:cs="Arial" w:eastAsia="Arial" w:hAnsi="Arial"/>
          <w:sz w:val="17"/>
          <w:szCs w:val="17"/>
          <w:b w:val="1"/>
          <w:bCs w:val="1"/>
          <w:color w:val="auto"/>
        </w:rPr>
        <w:t>Alberto Pontonio</w:t>
      </w:r>
      <w:r>
        <w:rPr>
          <w:rFonts w:ascii="Arial" w:cs="Arial" w:eastAsia="Arial" w:hAnsi="Arial"/>
          <w:sz w:val="17"/>
          <w:szCs w:val="17"/>
          <w:color w:val="auto"/>
        </w:rPr>
        <w:t>, one of our director nominees, joined Fifth Partners, LLC (“Fifth Partners”) in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a member of the public markets group. Fifth Partners is a private equity group located in Dallas, Texas and an affiliate of our sponsor.Mr. Pontonio has over 25 years of experience in the financial services industry in both the U.S. and European markets. Mr. Pontonio co-founded and served as a Director of Galileo Acquisition Corp (NYSE: GLEO.U), a blank-check company that consummated an initial business combination with Shapeways, Inc. in September, 2021. Mr. Pontonio also co-founded and currently serves as a Director for Americas Technology Acquisition Corp. (NYSE: ATA.U), a $115 million special purpose acquisition company focusing on targets operating in the TMT verticals. From 2019 to September 2021, he was with Raymond James as a financial advisor, based in Miami. Prior to this, from 2013 through 2018, he traded Equity Index futures with DP Trading. In 2009, he co-founded Censible, an automated investment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41" w:lineRule="auto"/>
        <w:rPr>
          <w:sz w:val="20"/>
          <w:szCs w:val="20"/>
          <w:color w:val="auto"/>
        </w:rPr>
      </w:pPr>
      <w:r>
        <w:rPr>
          <w:rFonts w:ascii="Arial" w:cs="Arial" w:eastAsia="Arial" w:hAnsi="Arial"/>
          <w:sz w:val="18"/>
          <w:szCs w:val="18"/>
          <w:color w:val="auto"/>
        </w:rPr>
        <w:t>platform that allows individual investors to align their investments with their personal interests and social values. Mr. Pontonio’s previous tenures include Espirito Santo in their investment banking group, Bear Stearns in London as a Managing Director, and Merrill Lynch in New York and London, as a Director in the Institutional Equity department. Mr. Pontonio started his career in New York at Cowen &amp; Co. He holds a B.A. in economics from the Catholic University in Milan, Italy.</w:t>
      </w:r>
    </w:p>
    <w:p>
      <w:pPr>
        <w:spacing w:after="0" w:line="104"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7"/>
          <w:szCs w:val="17"/>
          <w:b w:val="1"/>
          <w:bCs w:val="1"/>
          <w:color w:val="auto"/>
        </w:rPr>
        <w:t>Lee Canaan</w:t>
      </w:r>
      <w:r>
        <w:rPr>
          <w:rFonts w:ascii="Arial" w:cs="Arial" w:eastAsia="Arial" w:hAnsi="Arial"/>
          <w:sz w:val="17"/>
          <w:szCs w:val="17"/>
          <w:color w:val="auto"/>
        </w:rPr>
        <w:t>, one of our director nominees, is the founder and portfolio manager of Braeburn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a private investment management firm since 2003. Ms. Canaan has over 20 years of public and private board experience across diverse industries. She is currently serving on the board of directors of EQT Corporation (since July 2019), Aethon Energy (since June 2019), and PHX Minerals Inc. (since</w:t>
      </w:r>
    </w:p>
    <w:p>
      <w:pPr>
        <w:spacing w:after="0" w:line="2" w:lineRule="exact"/>
        <w:rPr>
          <w:sz w:val="20"/>
          <w:szCs w:val="20"/>
          <w:color w:val="auto"/>
        </w:rPr>
      </w:pPr>
    </w:p>
    <w:p>
      <w:pPr>
        <w:ind w:left="1280" w:right="399"/>
        <w:spacing w:after="0" w:line="226" w:lineRule="auto"/>
        <w:rPr>
          <w:sz w:val="20"/>
          <w:szCs w:val="20"/>
          <w:color w:val="auto"/>
        </w:rPr>
      </w:pPr>
      <w:r>
        <w:rPr>
          <w:rFonts w:ascii="Arial" w:cs="Arial" w:eastAsia="Arial" w:hAnsi="Arial"/>
          <w:sz w:val="18"/>
          <w:szCs w:val="18"/>
          <w:color w:val="auto"/>
        </w:rPr>
        <w:t>March 2014). She previously served on the board of directors of Philadelphia Energy Solutions, LLC, Rock Creek Pharmaceuticals, Inc., Equal Energy Ltd., Oakmont Acquisition Corp., and Noble International, Ltd. Ms. Canaan has served as an independent traditional and alternative energy industry consultant for various private, public and governmental entities since 2009, including the U.S. Department of Energy. She began her career as a geophysicist for Amoco, then moved into finance as an analyst and portfolio manager for ARCO corporate treasury, then as an investment analyst at AIM/INVESCO. Ms. Canaan holds a Bachelor of Science in Geological Sciences from University of Southern California, a Masters in Geophysics from The University of Texas at Austin, and an MBA in finance from The Wharton School. She is also a 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w:t>
      </w:r>
    </w:p>
    <w:p>
      <w:pPr>
        <w:spacing w:after="0" w:line="124"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7"/>
          <w:szCs w:val="17"/>
          <w:b w:val="1"/>
          <w:bCs w:val="1"/>
          <w:color w:val="auto"/>
        </w:rPr>
        <w:t>Win Graham</w:t>
      </w:r>
      <w:r>
        <w:rPr>
          <w:rFonts w:ascii="Arial" w:cs="Arial" w:eastAsia="Arial" w:hAnsi="Arial"/>
          <w:sz w:val="17"/>
          <w:szCs w:val="17"/>
          <w:color w:val="auto"/>
        </w:rPr>
        <w:t>, one of our director nominees, has managed The Allar Company with his brother Jack in</w:t>
      </w:r>
      <w:r>
        <w:rPr>
          <w:rFonts w:ascii="Arial" w:cs="Arial" w:eastAsia="Arial" w:hAnsi="Arial"/>
          <w:sz w:val="17"/>
          <w:szCs w:val="17"/>
          <w:b w:val="1"/>
          <w:bCs w:val="1"/>
          <w:color w:val="auto"/>
        </w:rPr>
        <w:t xml:space="preserve"> </w:t>
      </w:r>
      <w:r>
        <w:rPr>
          <w:rFonts w:ascii="Arial" w:cs="Arial" w:eastAsia="Arial" w:hAnsi="Arial"/>
          <w:sz w:val="17"/>
          <w:szCs w:val="17"/>
          <w:color w:val="auto"/>
        </w:rPr>
        <w:t>Graham, Texas since 2005. His responsibilities include managing minerals assets in 24 states, negotiating contracts and capital acquisitions. Prior to that Mr. Graham spent 10 years as an international crude oil trader working for Shell Trading and Vitol, where he traded physical cargos of crude oil from all over the world as well as domestic pipeline barrels, futures and options. For several years he was responsible for the futures, options and foreign barrels of crude that were traded in Shell’s United States system. He also spent time trading in both London and Singapore. Mr. Graham began his career as an oil and gas audit specialist at PricewaterhouseCoopers (f/k/a Coopers &amp; Lybrand) . Mr. Graham holds a BBA in accounting from The University of Texas at Austin and is a Certified Public Accountant (non-practicing). Mr. Graham is active in his community and has served as Board President of the GISD School Board, Graham Industrial Association and the Young County Appraisal District.</w:t>
      </w:r>
    </w:p>
    <w:p>
      <w:pPr>
        <w:spacing w:after="0" w:line="109" w:lineRule="exact"/>
        <w:rPr>
          <w:sz w:val="20"/>
          <w:szCs w:val="20"/>
          <w:color w:val="auto"/>
        </w:rPr>
      </w:pPr>
    </w:p>
    <w:p>
      <w:pPr>
        <w:ind w:left="1280" w:right="419" w:firstLine="360"/>
        <w:spacing w:after="0" w:line="252" w:lineRule="auto"/>
        <w:rPr>
          <w:sz w:val="20"/>
          <w:szCs w:val="20"/>
          <w:color w:val="auto"/>
        </w:rPr>
      </w:pPr>
      <w:r>
        <w:rPr>
          <w:rFonts w:ascii="Arial" w:cs="Arial" w:eastAsia="Arial" w:hAnsi="Arial"/>
          <w:sz w:val="17"/>
          <w:szCs w:val="17"/>
          <w:b w:val="1"/>
          <w:bCs w:val="1"/>
          <w:color w:val="auto"/>
        </w:rPr>
        <w:t>Joseph Colonnetta</w:t>
      </w:r>
      <w:r>
        <w:rPr>
          <w:rFonts w:ascii="Arial" w:cs="Arial" w:eastAsia="Arial" w:hAnsi="Arial"/>
          <w:sz w:val="17"/>
          <w:szCs w:val="17"/>
          <w:color w:val="auto"/>
        </w:rPr>
        <w:t>, one of our director nominees, has over 30 years of experience in the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as both an operator and investor, including substantial experience in identifying and acquiring a wide variety of businesses. Since 2011, he has been the Founding and General Partner of HBC Investments, which specializes in middle market private equity investments. Mr. Colonnetta was appointed by Texas Governor Rick Perry in 2012 and reappointed by Governor Greg Abbott to serve for eight years as a Trustee on the Teachers’ Retirement System of Texas, a $190 billion investment fund benefiting 1.7 million educators in the State of Texas, where he served as the Chairman of the Investment Committee for</w:t>
      </w:r>
    </w:p>
    <w:p>
      <w:pPr>
        <w:spacing w:after="0" w:line="1" w:lineRule="exact"/>
        <w:rPr>
          <w:sz w:val="20"/>
          <w:szCs w:val="20"/>
          <w:color w:val="auto"/>
        </w:rPr>
      </w:pPr>
    </w:p>
    <w:p>
      <w:pPr>
        <w:ind w:left="1280" w:right="479"/>
        <w:spacing w:after="0" w:line="253" w:lineRule="auto"/>
        <w:rPr>
          <w:sz w:val="20"/>
          <w:szCs w:val="20"/>
          <w:color w:val="auto"/>
        </w:rPr>
      </w:pPr>
      <w:r>
        <w:rPr>
          <w:rFonts w:ascii="Arial" w:cs="Arial" w:eastAsia="Arial" w:hAnsi="Arial"/>
          <w:sz w:val="17"/>
          <w:szCs w:val="17"/>
          <w:color w:val="auto"/>
        </w:rPr>
        <w:t>four years. Mr. Colonnetta has been a Director and Chairman on numerous private and public company boards including his current service on the boards of Aris Water Solutions (f/k/a Solaris Water Midstream), Getka Energy and Storage, and Thunderbird LNG. Prior to founding HBC Investments, Mr. Colonnetta was a Partner at Hicks, Muse, Tate &amp; Furst, a nationally prominent private equity firm that specialized in leveraged acquisitions. Mr. Colonnetta is a Trustee of St. Michael’s Episcopal Foundation. He earned a Bachelor of Science in Finance from the University of Houston.</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Special Advisors</w:t>
      </w:r>
    </w:p>
    <w:p>
      <w:pPr>
        <w:spacing w:after="0" w:line="140" w:lineRule="exact"/>
        <w:rPr>
          <w:sz w:val="20"/>
          <w:szCs w:val="20"/>
          <w:color w:val="auto"/>
        </w:rPr>
      </w:pPr>
    </w:p>
    <w:p>
      <w:pPr>
        <w:ind w:left="1280" w:right="539" w:firstLine="360"/>
        <w:spacing w:after="0" w:line="241" w:lineRule="auto"/>
        <w:rPr>
          <w:sz w:val="20"/>
          <w:szCs w:val="20"/>
          <w:color w:val="auto"/>
        </w:rPr>
      </w:pPr>
      <w:r>
        <w:rPr>
          <w:rFonts w:ascii="Arial" w:cs="Arial" w:eastAsia="Arial" w:hAnsi="Arial"/>
          <w:sz w:val="18"/>
          <w:szCs w:val="18"/>
          <w:b w:val="1"/>
          <w:bCs w:val="1"/>
          <w:color w:val="auto"/>
        </w:rPr>
        <w:t>Mike Allen</w:t>
      </w:r>
      <w:r>
        <w:rPr>
          <w:rFonts w:ascii="Arial" w:cs="Arial" w:eastAsia="Arial" w:hAnsi="Arial"/>
          <w:sz w:val="18"/>
          <w:szCs w:val="18"/>
          <w:color w:val="auto"/>
        </w:rPr>
        <w:t>, one of our special advisors, is the founder and President of Providence Energy Ltd.,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energy investment and management company that manages nearly 2,000,000 gross mineral acres and interests in over 10,000 producing wells throughout the United States. Providence Energy is also an active investor in renewable energy resources. Mr. Allen earned a BBA in Accounting from the University of Oklahoma and began his career as a CPA with Ernst &amp; Young (f/k/a Ernst &amp; Ernst) followed by 11 years with Headington Oil Company, before founding Providence.</w:t>
      </w:r>
    </w:p>
    <w:p>
      <w:pPr>
        <w:spacing w:after="0" w:line="116" w:lineRule="exact"/>
        <w:rPr>
          <w:sz w:val="20"/>
          <w:szCs w:val="20"/>
          <w:color w:val="auto"/>
        </w:rPr>
      </w:pPr>
    </w:p>
    <w:p>
      <w:pPr>
        <w:ind w:left="1280" w:right="519" w:firstLine="360"/>
        <w:spacing w:after="0" w:line="272" w:lineRule="auto"/>
        <w:rPr>
          <w:sz w:val="20"/>
          <w:szCs w:val="20"/>
          <w:color w:val="auto"/>
        </w:rPr>
      </w:pPr>
      <w:r>
        <w:rPr>
          <w:rFonts w:ascii="Arial" w:cs="Arial" w:eastAsia="Arial" w:hAnsi="Arial"/>
          <w:sz w:val="17"/>
          <w:szCs w:val="17"/>
          <w:b w:val="1"/>
          <w:bCs w:val="1"/>
          <w:color w:val="auto"/>
        </w:rPr>
        <w:t>Dan Hunt</w:t>
      </w:r>
      <w:r>
        <w:rPr>
          <w:rFonts w:ascii="Arial" w:cs="Arial" w:eastAsia="Arial" w:hAnsi="Arial"/>
          <w:sz w:val="17"/>
          <w:szCs w:val="17"/>
          <w:color w:val="auto"/>
        </w:rPr>
        <w:t>, one of our special advisors, has over 20 years of investment and management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sports and entertainment, real estate, media, and bio tech. Mr. Hunt has been President of Major League Soccer’s FC Dallas since 2014, and has spent much of his career driving the future of soccer in America.</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spacing w:after="0" w:line="275" w:lineRule="auto"/>
        <w:rPr>
          <w:sz w:val="20"/>
          <w:szCs w:val="20"/>
          <w:color w:val="auto"/>
        </w:rPr>
      </w:pPr>
      <w:r>
        <w:rPr>
          <w:rFonts w:ascii="Arial" w:cs="Arial" w:eastAsia="Arial" w:hAnsi="Arial"/>
          <w:sz w:val="17"/>
          <w:szCs w:val="17"/>
          <w:color w:val="auto"/>
        </w:rPr>
        <w:t>Together with his late father and American sports icon Lamar Hunt, Mr. Hunt led the creation of the Toyota Stadium and Soccer Center, home to FC Dallas and one of the most elite soccer facilities in the United States. Mr. Hunt is a member of MLS’ Board of Governors and serves on the league’s Business Ventures Committee. He is also involved with additional ownership interests of Hunt Sports Group, including the NFL’s Kansas City Chiefs. Mr. Hunt holds a BA from Southern Methodist University.</w:t>
      </w:r>
    </w:p>
    <w:p>
      <w:pPr>
        <w:spacing w:after="0" w:line="91" w:lineRule="exact"/>
        <w:rPr>
          <w:sz w:val="20"/>
          <w:szCs w:val="20"/>
          <w:color w:val="auto"/>
        </w:rPr>
      </w:pPr>
    </w:p>
    <w:p>
      <w:pPr>
        <w:ind w:left="1280" w:right="479" w:firstLine="360"/>
        <w:spacing w:after="0" w:line="268" w:lineRule="auto"/>
        <w:rPr>
          <w:sz w:val="20"/>
          <w:szCs w:val="20"/>
          <w:color w:val="auto"/>
        </w:rPr>
      </w:pPr>
      <w:r>
        <w:rPr>
          <w:rFonts w:ascii="Arial" w:cs="Arial" w:eastAsia="Arial" w:hAnsi="Arial"/>
          <w:sz w:val="17"/>
          <w:szCs w:val="17"/>
          <w:b w:val="1"/>
          <w:bCs w:val="1"/>
          <w:color w:val="auto"/>
        </w:rPr>
        <w:t>Bill Hall</w:t>
      </w:r>
      <w:r>
        <w:rPr>
          <w:rFonts w:ascii="Arial" w:cs="Arial" w:eastAsia="Arial" w:hAnsi="Arial"/>
          <w:sz w:val="17"/>
          <w:szCs w:val="17"/>
          <w:color w:val="auto"/>
        </w:rPr>
        <w:t>, one of our special advisors, has over 40 years of experience in entrepreneur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banking, oil &amp; gas investing, business consulting, and private equity across diverse industries and with specific expertise in national brand franchising and financial services. Mr. Hall is the Chief Executive Officer and a Managing Partner of Align Capital, LLC, where he oversees the investment firm’s operations, as well as focuses on portfolio oversight, investment origination, and underwriting. He has served on numerous private boards, including his current service on the boards of Oakwood Bancshares Inc., Oakwood Bank, Anson Bancshares, Inc., First National Bank of Anson, Seawolf Water Resources, LP, UMVP Index, ClearBlade, Inc (as an observer), Treats Investments, LLC, and WGH Properties, LLC.</w:t>
      </w:r>
    </w:p>
    <w:p>
      <w:pPr>
        <w:ind w:left="1280" w:right="399"/>
        <w:spacing w:after="0" w:line="255" w:lineRule="auto"/>
        <w:rPr>
          <w:sz w:val="20"/>
          <w:szCs w:val="20"/>
          <w:color w:val="auto"/>
        </w:rPr>
      </w:pPr>
      <w:r>
        <w:rPr>
          <w:rFonts w:ascii="Arial" w:cs="Arial" w:eastAsia="Arial" w:hAnsi="Arial"/>
          <w:sz w:val="18"/>
          <w:szCs w:val="18"/>
          <w:color w:val="auto"/>
        </w:rPr>
        <w:t>Mr. Hall started his career with Arthur Young &amp; Company (now Ernst &amp; Young). He is a Certified Public Accountant (non-practicing), earned a BBA in Accounting from University of Texas at Austin, and is a 2017 inductee of the Men’s Athletics Longhorn Hall of Honor.</w:t>
      </w:r>
    </w:p>
    <w:p>
      <w:pPr>
        <w:spacing w:after="0" w:line="118" w:lineRule="exact"/>
        <w:rPr>
          <w:sz w:val="20"/>
          <w:szCs w:val="20"/>
          <w:color w:val="auto"/>
        </w:rPr>
      </w:pPr>
    </w:p>
    <w:p>
      <w:pPr>
        <w:ind w:left="1280" w:right="479" w:firstLine="360"/>
        <w:spacing w:after="0" w:line="242" w:lineRule="auto"/>
        <w:rPr>
          <w:sz w:val="20"/>
          <w:szCs w:val="20"/>
          <w:color w:val="auto"/>
        </w:rPr>
      </w:pPr>
      <w:r>
        <w:rPr>
          <w:rFonts w:ascii="Arial" w:cs="Arial" w:eastAsia="Arial" w:hAnsi="Arial"/>
          <w:sz w:val="18"/>
          <w:szCs w:val="18"/>
          <w:b w:val="1"/>
          <w:bCs w:val="1"/>
          <w:color w:val="auto"/>
        </w:rPr>
        <w:t>Jeremy Gottlieb</w:t>
      </w:r>
      <w:r>
        <w:rPr>
          <w:rFonts w:ascii="Arial" w:cs="Arial" w:eastAsia="Arial" w:hAnsi="Arial"/>
          <w:sz w:val="18"/>
          <w:szCs w:val="18"/>
          <w:color w:val="auto"/>
        </w:rPr>
        <w:t>, one of our special advisors, is the co-founder and President of ComboCurve, Inc.</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known as Inside Petroleum), a software-as-a-service financial technology platform designed for energy companies, where he has co-led the development, sales, operations, and financing of the business as it grew to over 100 clients in just over 12 months post-launch. Prior to ComboCurve, he served as Finance Director at Deep Gulf Energy, a private equity-backed energy company, where he was involved in equity and debt financings before the company was sold to Kosmos Energy in 2018. He previously held positions at Ivory Capital and Ernst &amp; Young. Mr. Gottlieb graduated with High Honors from the University of Texas at Austin with a BBA and MPA. He is a 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 and a Certified Public Accountant, licensed in the State of Texas.</w:t>
      </w:r>
    </w:p>
    <w:p>
      <w:pPr>
        <w:spacing w:after="0" w:line="135" w:lineRule="exact"/>
        <w:rPr>
          <w:sz w:val="20"/>
          <w:szCs w:val="20"/>
          <w:color w:val="auto"/>
        </w:rPr>
      </w:pPr>
    </w:p>
    <w:p>
      <w:pPr>
        <w:ind w:left="1280" w:right="479" w:firstLine="360"/>
        <w:spacing w:after="0" w:line="274" w:lineRule="auto"/>
        <w:rPr>
          <w:sz w:val="20"/>
          <w:szCs w:val="20"/>
          <w:color w:val="auto"/>
        </w:rPr>
      </w:pPr>
      <w:r>
        <w:rPr>
          <w:rFonts w:ascii="Arial" w:cs="Arial" w:eastAsia="Arial" w:hAnsi="Arial"/>
          <w:sz w:val="17"/>
          <w:szCs w:val="17"/>
          <w:b w:val="1"/>
          <w:bCs w:val="1"/>
          <w:color w:val="auto"/>
        </w:rPr>
        <w:t>Ruben Martin</w:t>
      </w:r>
      <w:r>
        <w:rPr>
          <w:rFonts w:ascii="Arial" w:cs="Arial" w:eastAsia="Arial" w:hAnsi="Arial"/>
          <w:sz w:val="17"/>
          <w:szCs w:val="17"/>
          <w:color w:val="auto"/>
        </w:rPr>
        <w:t>, one of our special advisors, currently serves as Chairman of the Board and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general partner of Martin Midstream Partners, a publicly traded limited partnership with a diverse set of energy midstream operations focused primarily on the United States Gulf Coast region. Mr. Martin led the company as President, Chief Executive Officer, and a member of the board of directors from 2002 to 2020. Prior to that, he served as President of Martin Resource Management, where he held various other roles since 1974. He holds a BS in Industrial Management from the University of Arkansas.</w:t>
      </w:r>
    </w:p>
    <w:p>
      <w:pPr>
        <w:spacing w:after="0" w:line="96" w:lineRule="exact"/>
        <w:rPr>
          <w:sz w:val="20"/>
          <w:szCs w:val="20"/>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We currently expect our special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In this regard, our special advisors will fulfill some of the same functions as members of our board of directors. However, our special advisors will not be under any fiduciary obligations to us nor will they perform board or committee functions, nor will they have any voting or decision-making capacity on our behalf. Our special advisors will also not be required to devote any specific amount of time to our efforts or be subject to the fiduciary requirements to which members of our board of directors are subject. Accordingly, if any of our special advisors becomes aware of a business combination opportunity which is suitable for any of the entities to which he has fiduciary or contractual obligations (including other blank check companies), such special advisor will honor his or her fiduciary or contractual obligations to present such business combination opportunity to such entity, and only present it to us if such entity rejects the opportunity. We may modify or expand our roster of special advisors as we source potential business combination targets or create value in businesses that we may acquire.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Business Combination Process</w:t>
      </w:r>
    </w:p>
    <w:p>
      <w:pPr>
        <w:spacing w:after="0" w:line="162" w:lineRule="exact"/>
        <w:rPr>
          <w:sz w:val="20"/>
          <w:szCs w:val="20"/>
          <w:color w:val="auto"/>
        </w:rPr>
      </w:pPr>
    </w:p>
    <w:p>
      <w:pPr>
        <w:ind w:left="1280" w:right="479" w:firstLine="360"/>
        <w:spacing w:after="0" w:line="257" w:lineRule="auto"/>
        <w:rPr>
          <w:sz w:val="20"/>
          <w:szCs w:val="20"/>
          <w:color w:val="auto"/>
        </w:rPr>
      </w:pPr>
      <w:r>
        <w:rPr>
          <w:rFonts w:ascii="Arial" w:cs="Arial" w:eastAsia="Arial" w:hAnsi="Arial"/>
          <w:sz w:val="18"/>
          <w:szCs w:val="18"/>
          <w:color w:val="auto"/>
        </w:rPr>
        <w:t>In evaluating a prospective target business, we will conduct a customary due diligence review that will encompass, among other things, meetings with incumbent management and employees, document reviews, interviews of customers and suppliers, inspection of facilities as well as reviewing financial and other information that will be made available to us. We will also utilize our operational and capital allocation experience to further our understanding of the prospective target business.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firstLine="360"/>
        <w:spacing w:after="0"/>
        <w:rPr>
          <w:sz w:val="20"/>
          <w:szCs w:val="20"/>
          <w:color w:val="auto"/>
        </w:rPr>
      </w:pPr>
      <w:r>
        <w:rPr>
          <w:rFonts w:ascii="Arial" w:cs="Arial" w:eastAsia="Arial" w:hAnsi="Arial"/>
          <w:sz w:val="18"/>
          <w:szCs w:val="18"/>
          <w:color w:val="auto"/>
        </w:rPr>
        <w:t>We may also draw upon the services of Fifth Partners, an affiliate of our sponsor and certain of our director nominees. Fifth Partners is a private equity group located in Dallas, Texas. An active investment partner, it provides network companies access to the people, opportunities and capital needed to build sustainable enterprises. Since its founding in 2015, Fifth Partners has deployed over $1.5 billion across various asset classes, including real estate and energy. In addition to hard asset investing, Fifth Partners also owns and operates multiple early- to mid-stage businesses.</w:t>
      </w:r>
    </w:p>
    <w:p>
      <w:pPr>
        <w:spacing w:after="0" w:line="108" w:lineRule="exact"/>
        <w:rPr>
          <w:sz w:val="20"/>
          <w:szCs w:val="20"/>
          <w:color w:val="auto"/>
        </w:rPr>
      </w:pPr>
    </w:p>
    <w:p>
      <w:pPr>
        <w:ind w:left="1280" w:right="439" w:firstLine="360"/>
        <w:spacing w:after="0" w:line="239" w:lineRule="auto"/>
        <w:rPr>
          <w:sz w:val="20"/>
          <w:szCs w:val="20"/>
          <w:color w:val="auto"/>
        </w:rPr>
      </w:pPr>
      <w:r>
        <w:rPr>
          <w:rFonts w:ascii="Arial" w:cs="Arial" w:eastAsia="Arial" w:hAnsi="Arial"/>
          <w:sz w:val="18"/>
          <w:szCs w:val="18"/>
          <w:color w:val="auto"/>
        </w:rPr>
        <w:t>We currently anticipate that Fifth Partners will, from time to time, assist us in the identification of assets or companies that may be appropriate acquisition targets. While we may also draw upon Fifth Partners’ platforms, infrastructure, personnel, network and relationships to provide access to deal prospects, along with any necessary resources to aid in the identification and diligence of a target for the initial business combination, Fifth Partners is not obligated to identify any such target assets or companies or to perform due diligence on any acquisition targets. Any such activities are solely the responsibility of our management team.</w:t>
      </w:r>
    </w:p>
    <w:p>
      <w:pPr>
        <w:spacing w:after="0" w:line="123" w:lineRule="exact"/>
        <w:rPr>
          <w:sz w:val="20"/>
          <w:szCs w:val="20"/>
          <w:color w:val="auto"/>
        </w:rPr>
      </w:pPr>
    </w:p>
    <w:p>
      <w:pPr>
        <w:ind w:left="1280" w:right="519" w:firstLine="360"/>
        <w:spacing w:after="0"/>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valuation or appraisal firm that regularly provides fairness opinions that our initial business combination is fair to our company from a financial point of view.</w:t>
      </w:r>
    </w:p>
    <w:p>
      <w:pPr>
        <w:spacing w:after="0" w:line="122" w:lineRule="exact"/>
        <w:rPr>
          <w:sz w:val="20"/>
          <w:szCs w:val="20"/>
          <w:color w:val="auto"/>
        </w:rPr>
      </w:pPr>
    </w:p>
    <w:p>
      <w:pPr>
        <w:ind w:left="1280" w:right="439" w:firstLine="360"/>
        <w:spacing w:after="0"/>
        <w:rPr>
          <w:sz w:val="20"/>
          <w:szCs w:val="20"/>
          <w:color w:val="auto"/>
        </w:rPr>
      </w:pPr>
      <w:r>
        <w:rPr>
          <w:rFonts w:ascii="Arial" w:cs="Arial" w:eastAsia="Arial" w:hAnsi="Arial"/>
          <w:sz w:val="18"/>
          <w:szCs w:val="18"/>
          <w:color w:val="auto"/>
        </w:rPr>
        <w:t>Members of our management team will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8" w:lineRule="exact"/>
        <w:rPr>
          <w:sz w:val="20"/>
          <w:szCs w:val="20"/>
          <w:color w:val="auto"/>
        </w:rPr>
      </w:pPr>
    </w:p>
    <w:p>
      <w:pPr>
        <w:ind w:left="1280" w:right="399" w:firstLine="360"/>
        <w:spacing w:after="0" w:line="254" w:lineRule="auto"/>
        <w:rPr>
          <w:sz w:val="20"/>
          <w:szCs w:val="20"/>
          <w:color w:val="auto"/>
        </w:rPr>
      </w:pPr>
      <w:r>
        <w:rPr>
          <w:rFonts w:ascii="Arial" w:cs="Arial" w:eastAsia="Arial" w:hAnsi="Arial"/>
          <w:sz w:val="17"/>
          <w:szCs w:val="17"/>
          <w:color w:val="auto"/>
        </w:rPr>
        <w:t>Our acquisition criteria, due diligence processes and value creation methods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62"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7"/>
          <w:szCs w:val="17"/>
          <w:color w:val="auto"/>
        </w:rPr>
        <w:t>We believe that the operational and transactional experience of our management team and members of our sponsor and their respective affiliates and related entities and the relationships they have developed as a result of such experience, will provide us with a substantial number of potential business combination targets. These individuals and entities have developed a broad network of contacts and corporate relationships around the world. This network has grown through sourcing, acquiring and financing businesses and maintaining relationships with sellers, financing sources and target management teams. Our management team and members of our sponsor and their respective affiliates and related entities have significant experience in executing transactions under varying economic and financial market conditions. We believe that these networks of relationships and this experience will provide us with important sources of investment opportunities. In addition, we anticipate that target business candidates may be brought to our attention from various unaffiliated sources, including investment market participants, private equity funds and large business enterprises seeking to divest noncore assets or divisions.</w:t>
      </w:r>
    </w:p>
    <w:p>
      <w:pPr>
        <w:spacing w:after="0" w:line="116" w:lineRule="exact"/>
        <w:rPr>
          <w:sz w:val="20"/>
          <w:szCs w:val="20"/>
          <w:color w:val="auto"/>
        </w:rPr>
      </w:pPr>
    </w:p>
    <w:p>
      <w:pPr>
        <w:ind w:left="1280" w:right="439" w:firstLine="360"/>
        <w:spacing w:after="0" w:line="259"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their respective affiliates or related entities) or making the acquisition through a joint venture or other form of shared ownership with our sponsor, officers or directors (or their respective affiliates or related entities). In the event we seek to complete our initial business combination with a company that is affiliated with our sponsor, officers or directors (or their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459"/>
        <w:spacing w:after="0" w:line="259" w:lineRule="auto"/>
        <w:rPr>
          <w:sz w:val="20"/>
          <w:szCs w:val="20"/>
          <w:color w:val="auto"/>
        </w:rPr>
      </w:pPr>
      <w:r>
        <w:rPr>
          <w:rFonts w:ascii="Arial" w:cs="Arial" w:eastAsia="Arial" w:hAnsi="Arial"/>
          <w:sz w:val="18"/>
          <w:szCs w:val="18"/>
          <w:color w:val="auto"/>
        </w:rPr>
        <w:t>respective affiliates or related entities), we, or a committee of independent directors, will obtain an opinion from an independent investment banking firm or another independent firm that commonly renders valuation opinions that our initial business combination is fair to our company from a financial point of view. We are not required to obtain such an opinion in any other context.</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have 12 months from the closing of this offering to consummate an initial business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combination. However, if we anticipate that we may not be able to consummate our initial business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combination within 12 months, we may, by resolution of our board if requested by our sponsor, extend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period of time to consummate a business combination up to two times, each by an additional three months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a total of up to 18 months to complete a business combination), subject to the sponsor depositing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additional funds into the trust account, upon five days advance notice prior to the applicable deadline,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$1,500,000, or $1,725,000 if the underwriters’ over-allotment option is exercised in full ($0.10 per unit in</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either case), for each of the available three month extensions, for a total payment of $3,000,000, 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$3,450,000 if the underwriters’ over-allotment option is exercised in full ($0.10 per unit in either case). Any</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such payments would be made in the form of non-interest bearing loans. If we complete our initial business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combination, we will, at the option of our sponsor, repay such loaned amounts out of the proceeds of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trust account released to us or convert a portion or all of the total loan amount into units at a price of $10.00</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per unit, which units will be identical to the private units. If we do not complete a business combination, we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will repay such loans only from funds held outside of the trust account. Our stockholders will not be entitled</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to vote or redeem their shares in connection with any such extension. However, our stockholders will be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entitled to vote and redeem their shares in connection with a stockholder meeting held to approve an initial</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business combination or in a tender offer undertaken in connection with such an initial business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combination if we propose such a business combination during any three-month extension period. In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event that we receive notice from our sponsor five days prior to the applicable deadline of its wish for us to</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effect an extension, we intend to issue a press release announcing such intention at least three days prior to</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applicable deadline. In addition, we intend to issue a press release the day after the applicable deadline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announcing whether or not the funds had been timely deposited. Our sponsor and its affiliates or designees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are not obligated to fund the trust account to extend the time for us to complete our initial business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combination. If we are unable to consummate our initial business combination within such time period, we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will, as promptly as possible but not more than ten business days thereafter, redeem 100% of our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outstanding public shares for a pro rata portion of the funds held in the trust account, including a pro rata</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portion of any interest earned on the funds held in the trust account and not previously released to us to pay</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our taxes, and then seek to dissolve and liquidate. However, we may not be able to distribute such amounts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as a result of claims of creditors which may take priority over the claims of our public stockholders. In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event of our dissolution and liquidation, the private units will expire and will be worthless.</w:t>
      </w:r>
    </w:p>
    <w:p>
      <w:pPr>
        <w:spacing w:after="0" w:line="143" w:lineRule="exact"/>
        <w:rPr>
          <w:sz w:val="20"/>
          <w:szCs w:val="20"/>
          <w:color w:val="auto"/>
        </w:rPr>
      </w:pPr>
    </w:p>
    <w:p>
      <w:pPr>
        <w:ind w:left="1280" w:right="399" w:firstLine="360"/>
        <w:spacing w:after="0" w:line="252" w:lineRule="auto"/>
        <w:rPr>
          <w:sz w:val="20"/>
          <w:szCs w:val="20"/>
          <w:color w:val="auto"/>
        </w:rPr>
      </w:pPr>
      <w:r>
        <w:rPr>
          <w:rFonts w:ascii="Arial" w:cs="Arial" w:eastAsia="Arial" w:hAnsi="Arial"/>
          <w:sz w:val="18"/>
          <w:szCs w:val="18"/>
          <w:color w:val="auto"/>
        </w:rPr>
        <w:t>We will either (1) seek stockholder approval of our initial business combination at a meeting called for such purpose, at which stockholders may seek to redeem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31" w:lineRule="exact"/>
        <w:rPr>
          <w:sz w:val="20"/>
          <w:szCs w:val="20"/>
          <w:color w:val="auto"/>
        </w:rPr>
      </w:pPr>
    </w:p>
    <w:p>
      <w:pPr>
        <w:ind w:left="1280" w:right="559" w:firstLine="360"/>
        <w:spacing w:after="0" w:line="279" w:lineRule="auto"/>
        <w:rPr>
          <w:sz w:val="20"/>
          <w:szCs w:val="20"/>
          <w:color w:val="auto"/>
        </w:rPr>
      </w:pPr>
      <w:r>
        <w:rPr>
          <w:rFonts w:ascii="Arial" w:cs="Arial" w:eastAsia="Arial" w:hAnsi="Arial"/>
          <w:sz w:val="17"/>
          <w:szCs w:val="17"/>
          <w:color w:val="auto"/>
        </w:rPr>
        <w:t>The initial per public share redemption price will be $10.10 per share, regardless of whether the over-allotment option is exercised, without taking into account any interest earned on such funds or additional funds, if any, deposited into the trust account in connection with extensions of the period of time to consummate a business combination (as described in more detail in this prospectus). However, we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59"/>
        <w:spacing w:after="0" w:line="261" w:lineRule="auto"/>
        <w:rPr>
          <w:sz w:val="20"/>
          <w:szCs w:val="20"/>
          <w:color w:val="auto"/>
        </w:rPr>
      </w:pPr>
      <w:r>
        <w:rPr>
          <w:rFonts w:ascii="Arial" w:cs="Arial" w:eastAsia="Arial" w:hAnsi="Arial"/>
          <w:sz w:val="18"/>
          <w:szCs w:val="18"/>
          <w:color w:val="auto"/>
        </w:rPr>
        <w:t>may not be able to distribute such amounts as a result of claims of creditors which may take priority over the claims of our public stockholders.</w:t>
      </w:r>
    </w:p>
    <w:p>
      <w:pPr>
        <w:spacing w:after="0" w:line="90" w:lineRule="exact"/>
        <w:rPr>
          <w:sz w:val="20"/>
          <w:szCs w:val="20"/>
          <w:color w:val="auto"/>
        </w:rPr>
      </w:pPr>
    </w:p>
    <w:p>
      <w:pPr>
        <w:ind w:left="1280" w:right="419" w:firstLine="360"/>
        <w:spacing w:after="0" w:line="236" w:lineRule="auto"/>
        <w:rPr>
          <w:sz w:val="20"/>
          <w:szCs w:val="20"/>
          <w:color w:val="auto"/>
        </w:rPr>
      </w:pPr>
      <w:r>
        <w:rPr>
          <w:rFonts w:ascii="Arial" w:cs="Arial" w:eastAsia="Arial" w:hAnsi="Arial"/>
          <w:sz w:val="18"/>
          <w:szCs w:val="18"/>
          <w:color w:val="auto"/>
        </w:rPr>
        <w:t>NYSE rules require that we must consummate an initial business combination with one or more operating businesses or assets with a fair market value equal to at least 80% of the net assets held in the trust account (excluding any taxes payable) . If our board of directors is not able to independently determine the fair market value of our initial business combination, we will obtain an opinion from an independent investment banking firm or another independent firm that regularly provides fairness opinions solely with respect to the satisfaction of such criteria. While we consider it unlikely that our board will not be able to make such independent determination of fair market value,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meets the 80% fair market value test, unless such opinion includes material information regarding the valuation of a target business or the consideration to be provided, it is not anticipated that copies of such opinion would be distributed to our stockholders. However, if required under applicable law, any proxy statement that we deliver to stockholders and file with the SEC in connection with a proposed transaction will include such opinion.</w:t>
      </w:r>
    </w:p>
    <w:p>
      <w:pPr>
        <w:spacing w:after="0" w:line="131" w:lineRule="exact"/>
        <w:rPr>
          <w:sz w:val="20"/>
          <w:szCs w:val="20"/>
          <w:color w:val="auto"/>
        </w:rPr>
      </w:pPr>
    </w:p>
    <w:p>
      <w:pPr>
        <w:ind w:left="1280" w:right="879" w:firstLine="360"/>
        <w:spacing w:after="0" w:line="274"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will own or acquire 100% of the equity interests or assets of the</w:t>
      </w:r>
    </w:p>
    <w:p>
      <w:pPr>
        <w:ind w:left="1280" w:right="419"/>
        <w:spacing w:after="0" w:line="266" w:lineRule="auto"/>
        <w:rPr>
          <w:sz w:val="20"/>
          <w:szCs w:val="20"/>
          <w:color w:val="auto"/>
        </w:rPr>
      </w:pPr>
      <w:r>
        <w:rPr>
          <w:rFonts w:ascii="Arial" w:cs="Arial" w:eastAsia="Arial" w:hAnsi="Arial"/>
          <w:sz w:val="17"/>
          <w:szCs w:val="17"/>
          <w:color w:val="auto"/>
        </w:rPr>
        <w:t>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However, we will only complete such business combination if the post-transaction company owns or acquires 50% or more of the issued and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issued and outstanding capital stock, shares and/or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NYSE’s 80% fair market value test. If the business combination involves more than one target business, the 80% fair market value test will be based on the aggregate value of all of the target businesses. If our securities are not listed on the NYSE after this offering, we would not be required to satisfy the 80% requirement. However, we intend to satisfy the 80% requirement even if our securities are not listed on the NYSE at the time of our initial business combination.</w:t>
      </w:r>
    </w:p>
    <w:p>
      <w:pPr>
        <w:spacing w:after="0" w:line="120" w:lineRule="exact"/>
        <w:rPr>
          <w:sz w:val="20"/>
          <w:szCs w:val="20"/>
          <w:color w:val="auto"/>
        </w:rPr>
      </w:pPr>
    </w:p>
    <w:p>
      <w:pPr>
        <w:ind w:left="1280" w:right="559" w:firstLine="360"/>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11" w:lineRule="exact"/>
        <w:rPr>
          <w:sz w:val="20"/>
          <w:szCs w:val="20"/>
          <w:color w:val="auto"/>
        </w:rPr>
      </w:pPr>
    </w:p>
    <w:p>
      <w:pPr>
        <w:ind w:left="1280" w:right="399" w:firstLine="360"/>
        <w:spacing w:after="0" w:line="275" w:lineRule="auto"/>
        <w:rPr>
          <w:sz w:val="20"/>
          <w:szCs w:val="20"/>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 The amount of any such fee we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99"/>
        <w:spacing w:after="0" w:line="262" w:lineRule="auto"/>
        <w:rPr>
          <w:sz w:val="20"/>
          <w:szCs w:val="20"/>
          <w:color w:val="auto"/>
        </w:rPr>
      </w:pPr>
      <w:r>
        <w:rPr>
          <w:rFonts w:ascii="Arial" w:cs="Arial" w:eastAsia="Arial" w:hAnsi="Arial"/>
          <w:sz w:val="17"/>
          <w:szCs w:val="17"/>
          <w:color w:val="auto"/>
        </w:rPr>
        <w:t>pay will be based upon the prevailing market for similar services for comparable transactions at such time, and will be subject to the review of our audit committee pursuant to the audit committee’s policies and procedures relating to transactions that may present conflicts of interest. We would disclose any such fee in the proxy or tender offer materials used in connection with a proposed business combination.</w:t>
      </w:r>
    </w:p>
    <w:p>
      <w:pPr>
        <w:spacing w:after="0" w:line="91"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90"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ind w:left="1280" w:right="499" w:firstLine="360"/>
        <w:spacing w:after="0" w:line="251" w:lineRule="auto"/>
        <w:rPr>
          <w:sz w:val="20"/>
          <w:szCs w:val="20"/>
          <w:color w:val="auto"/>
        </w:rPr>
      </w:pPr>
      <w:r>
        <w:rPr>
          <w:rFonts w:ascii="Arial" w:cs="Arial" w:eastAsia="Arial" w:hAnsi="Arial"/>
          <w:sz w:val="17"/>
          <w:szCs w:val="17"/>
          <w:color w:val="auto"/>
        </w:rPr>
        <w:t>On October 7, 2021, our sponsor purchased 4,312,500 founder shares for an aggregate purchase price of $25,000, or approximately $0.006 per share. The per share purchase price of the founder shares was determined by dividing the amount of cash contributed to the company by the aggregate number of founder shares issued. The number of founder shares issued was determined based on the expectation that the founder shares would represent 20% of the outstanding shares of common stock after this offering (not including the private units and underlying securities and the representative founder shares and assuming they do not purchase units in this offering). As such, our insiders will collectively own 20% of our issued and outstanding shares of common stock after this offering (not including the private units and underlying securities and the representative founder shares and assuming they do not purchase units in this offering). The 4,312,500 founder shares held or controlled by our insiders include an aggregate of up to 562,500 shares subject to forfeiture to the extent that the underwriters’ over-allotment option is not exercised in full or in part, so that our insiders will collectively own or control 20% of our issued and outstanding shares after this offering (not including the private units and underlying securities and the representative founder shares and assuming they do not purchase units in this offering).</w:t>
      </w:r>
    </w:p>
    <w:p>
      <w:pPr>
        <w:spacing w:after="0" w:line="121"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color w:val="auto"/>
        </w:rPr>
        <w:t>The founder shares are identical to the shares of common stock included in the units being sold in this offering. However, our insiders have agreed (A) to vote their founder shares, private shares underlying the private units and any public shares acquired in or after this offering in favor of any proposed business combination; (B) not to propose, or vote in favor of, an amendment to our amended and restated certificate of incorporation that would affect the substance or timing of our obligation to redeem 100% of our public shares if we do not complete our initial business combination within 12 months from the closing of this offering (or up to 18 months from the closing of this offering if we extend the period of time to consummate a business combination)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redeem any shares (including the founder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12 months from the closing of this offering (or up to 18 months from the closing of this offering if we extend the period of time to consummate a business combination); and (D) that the founder shares shall not be entitled to be redeemed for a pro rata portion of the funds held in the trust account if a business combination is not consummated within the prescribed time period. If public units or shares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03" w:lineRule="exact"/>
        <w:rPr>
          <w:sz w:val="20"/>
          <w:szCs w:val="20"/>
          <w:color w:val="auto"/>
        </w:rPr>
      </w:pPr>
    </w:p>
    <w:p>
      <w:pPr>
        <w:ind w:left="1280" w:right="539" w:firstLine="360"/>
        <w:spacing w:after="0" w:line="259" w:lineRule="auto"/>
        <w:rPr>
          <w:sz w:val="20"/>
          <w:szCs w:val="20"/>
          <w:color w:val="auto"/>
        </w:rPr>
      </w:pPr>
      <w:r>
        <w:rPr>
          <w:rFonts w:ascii="Arial" w:cs="Arial" w:eastAsia="Arial" w:hAnsi="Arial"/>
          <w:sz w:val="18"/>
          <w:szCs w:val="18"/>
          <w:color w:val="auto"/>
        </w:rPr>
        <w:t>On the date of this prospectus, the founder shares will be placed into an escrow account maintained in New York, New York by Continental Stock Transfer &amp; Trust Company, acting as escrow agent. Subject to certain limited exceptions, (X) 50% of these founder shares will not be transferred, assigned, sold or released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50" w:lineRule="auto"/>
        <w:rPr>
          <w:sz w:val="20"/>
          <w:szCs w:val="20"/>
          <w:color w:val="auto"/>
        </w:rPr>
      </w:pPr>
      <w:r>
        <w:rPr>
          <w:rFonts w:ascii="Arial" w:cs="Arial" w:eastAsia="Arial" w:hAnsi="Arial"/>
          <w:sz w:val="17"/>
          <w:szCs w:val="17"/>
          <w:color w:val="auto"/>
        </w:rPr>
        <w:t>from escrow until the earlier of (i) the one- year anniversary of the consummation of our initial business combination and (ii)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(Y) the remaining 50% of the founder shares will not be transferred, assigned, sold or released from escrow until the one-year anniversary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w:t>
      </w:r>
    </w:p>
    <w:p>
      <w:pPr>
        <w:spacing w:after="0" w:line="6" w:lineRule="exact"/>
        <w:rPr>
          <w:sz w:val="20"/>
          <w:szCs w:val="20"/>
          <w:color w:val="auto"/>
        </w:rPr>
      </w:pPr>
    </w:p>
    <w:p>
      <w:pPr>
        <w:ind w:left="1280" w:right="499" w:hanging="2"/>
        <w:spacing w:after="0" w:line="236" w:lineRule="auto"/>
        <w:tabs>
          <w:tab w:leader="none" w:pos="1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transfers among the insiders to our officers, directors, advisors and employees or their respective affiliates;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or prior to the consummation of a business combination at prices no greater than the price at which the securities were originally purchased; or (7) transfers to us for no value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founder shares.</w:t>
      </w:r>
    </w:p>
    <w:p>
      <w:pPr>
        <w:spacing w:after="0" w:line="110" w:lineRule="exact"/>
        <w:rPr>
          <w:sz w:val="20"/>
          <w:szCs w:val="20"/>
          <w:color w:val="auto"/>
        </w:rPr>
      </w:pPr>
    </w:p>
    <w:p>
      <w:pPr>
        <w:ind w:left="1280" w:right="439" w:firstLine="360"/>
        <w:spacing w:after="0" w:line="238" w:lineRule="auto"/>
        <w:rPr>
          <w:sz w:val="20"/>
          <w:szCs w:val="20"/>
          <w:color w:val="auto"/>
        </w:rPr>
      </w:pPr>
      <w:r>
        <w:rPr>
          <w:rFonts w:ascii="Arial" w:cs="Arial" w:eastAsia="Arial" w:hAnsi="Arial"/>
          <w:sz w:val="18"/>
          <w:szCs w:val="18"/>
          <w:color w:val="auto"/>
        </w:rPr>
        <w:t>Our sponsor, ROC Energy Holdings, LLC, an entity affiliated with some of our officers and directors, has committed to purchase from us 625,000 units (or 692,500 units if the over-allotment option is exercised in full), or “private units,” at $10.00 per private unit for a total purchase price of $6,250,000 (or $6,925,000 if the over-allotment option is exercised in full). The private units will be sold in a private placement that will close simultaneously with the closing of this offering. Each private unit will be identical to the units sold in this offering, except as described in this prospectus. The private units and their component securities will not be transferable, assignable or salable until after the consummation of our initial business combination, except to permitted transferees.</w:t>
      </w:r>
    </w:p>
    <w:p>
      <w:pPr>
        <w:spacing w:after="0" w:line="126" w:lineRule="exact"/>
        <w:rPr>
          <w:sz w:val="20"/>
          <w:szCs w:val="20"/>
          <w:color w:val="auto"/>
        </w:rPr>
      </w:pPr>
    </w:p>
    <w:p>
      <w:pPr>
        <w:ind w:left="1280" w:right="579" w:firstLine="360"/>
        <w:spacing w:after="0" w:line="262" w:lineRule="auto"/>
        <w:rPr>
          <w:sz w:val="20"/>
          <w:szCs w:val="20"/>
          <w:color w:val="auto"/>
        </w:rPr>
      </w:pPr>
      <w:r>
        <w:rPr>
          <w:rFonts w:ascii="Arial" w:cs="Arial" w:eastAsia="Arial" w:hAnsi="Arial"/>
          <w:sz w:val="17"/>
          <w:szCs w:val="17"/>
          <w:color w:val="auto"/>
        </w:rPr>
        <w:t>We have also issued 150,000 shares of common stock to EarlyBirdCapital and/or its designees, which we refer to throughout this prospectus as the “representative founder shares.” The representative founder shares are deemed to be underwriters’ compensation by FINRA pursuant to Rule 5110 of the FINRA Manual. See the section titled “Underwriting” for further information related to these arrangements.</w:t>
      </w:r>
    </w:p>
    <w:p>
      <w:pPr>
        <w:spacing w:after="0" w:line="168"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Potential Conflicts</w:t>
      </w:r>
    </w:p>
    <w:p>
      <w:pPr>
        <w:spacing w:after="0" w:line="162" w:lineRule="exact"/>
        <w:rPr>
          <w:sz w:val="20"/>
          <w:szCs w:val="20"/>
          <w:color w:val="auto"/>
        </w:rPr>
      </w:pPr>
    </w:p>
    <w:p>
      <w:pPr>
        <w:ind w:left="1280" w:right="459" w:firstLine="360"/>
        <w:spacing w:after="0" w:line="273" w:lineRule="auto"/>
        <w:rPr>
          <w:sz w:val="20"/>
          <w:szCs w:val="20"/>
          <w:color w:val="auto"/>
        </w:rPr>
      </w:pPr>
      <w:r>
        <w:rPr>
          <w:rFonts w:ascii="Arial" w:cs="Arial" w:eastAsia="Arial" w:hAnsi="Arial"/>
          <w:sz w:val="17"/>
          <w:szCs w:val="17"/>
          <w:color w:val="auto"/>
        </w:rPr>
        <w:t>Each of our directors and officers will directly or indirectly own founder shares and/or placement units following this offering and, accordingly, may have a conflict of interest in determining whether a particular target business is an appropriate business with which to effectuate our initial business combination. Further, such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7" w:lineRule="exact"/>
        <w:rPr>
          <w:sz w:val="20"/>
          <w:szCs w:val="20"/>
          <w:color w:val="auto"/>
        </w:rPr>
      </w:pPr>
    </w:p>
    <w:p>
      <w:pPr>
        <w:ind w:left="1280" w:right="459" w:firstLine="360"/>
        <w:spacing w:after="0" w:line="268" w:lineRule="auto"/>
        <w:rPr>
          <w:sz w:val="20"/>
          <w:szCs w:val="20"/>
          <w:color w:val="auto"/>
        </w:rPr>
      </w:pPr>
      <w:r>
        <w:rPr>
          <w:rFonts w:ascii="Arial" w:cs="Arial" w:eastAsia="Arial" w:hAnsi="Arial"/>
          <w:sz w:val="17"/>
          <w:szCs w:val="17"/>
          <w:color w:val="auto"/>
        </w:rPr>
        <w:t>Our officers and directors presently have, and any of them in the future may have additional, fiduciary or contractual obligations to other entities, including, Americas Technology Acquisition Corp. (NYSE: ATA.U), a special purpose acquisition company (“SPAC”) that consummated its initial public offering in December 2020 and is currently in the process of searching for a business combination target, Pursuant to such fiduciary duties, such officer or director is or will be required to present a business combination opportunity to such other entities subject to his or her fiduciary duties. Subject to his or her fiduciary duties under Delaware law, none of the members of our management team who are also employed by our sponsor or its affiliates have any obligation to present us with any opportunity for a potential business combination of which they become aware.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subject to his or her fiduciary duties under Delaware law and any other applicable fiduciary duties, and only present it to us if such entity rejects the opportunity. Our amended and restated certificate of incorporation will provide that we renounce our interest in any corporate opportunity offered to any director or officer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spacing w:after="0" w:line="263" w:lineRule="auto"/>
        <w:rPr>
          <w:sz w:val="20"/>
          <w:szCs w:val="20"/>
          <w:color w:val="auto"/>
        </w:rPr>
      </w:pPr>
      <w:r>
        <w:rPr>
          <w:rFonts w:ascii="Arial" w:cs="Arial" w:eastAsia="Arial" w:hAnsi="Arial"/>
          <w:sz w:val="18"/>
          <w:szCs w:val="18"/>
          <w:color w:val="auto"/>
        </w:rPr>
        <w:t>unless such opportunity is expressly offered to such person solely in his or her capacity as a director or officer of the company and it is an opportunity that we are able to compete on a reasonable basis. For more information, see the section entitled “Management — Conflicts of Interest.”</w:t>
      </w:r>
    </w:p>
    <w:p>
      <w:pPr>
        <w:spacing w:after="0" w:line="103" w:lineRule="exact"/>
        <w:rPr>
          <w:sz w:val="20"/>
          <w:szCs w:val="20"/>
          <w:color w:val="auto"/>
        </w:rPr>
      </w:pPr>
    </w:p>
    <w:p>
      <w:pPr>
        <w:ind w:left="1280" w:right="419" w:firstLine="360"/>
        <w:spacing w:after="0" w:line="270" w:lineRule="auto"/>
        <w:rPr>
          <w:sz w:val="20"/>
          <w:szCs w:val="20"/>
          <w:color w:val="auto"/>
        </w:rPr>
      </w:pPr>
      <w:r>
        <w:rPr>
          <w:rFonts w:ascii="Arial" w:cs="Arial" w:eastAsia="Arial" w:hAnsi="Arial"/>
          <w:sz w:val="17"/>
          <w:szCs w:val="17"/>
          <w:color w:val="auto"/>
        </w:rPr>
        <w:t>Additionally, we have engaged EarlyBirdCapital to assist us in connection with our initial business combination. We will pay EarlyBirdCapital a cash fee for such services upon the consummation of our initial business combination in an aggregate amount equal to 3.5% of the total gross proceeds raised in the offering. We will also pay EarlyBirdCapital a cash fee of 1.0% of the total consideration payable in a proposed business combination if EarlyBirdCapital introduces us to the target business with which we complete a business combination. The representative founder shares will also be worthless if we do not consummate an initial business combination. The financial interests may result in EarlyBirdCapital having a conflict of interest when providing the services to us in connection with an initial business combination. For more information on the arrangements with the underwriters, see the section entitled “Underwriting.”</w:t>
      </w:r>
    </w:p>
    <w:p>
      <w:pPr>
        <w:spacing w:after="0" w:line="17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JOBS Act and Other Corporate Information</w:t>
      </w:r>
    </w:p>
    <w:p>
      <w:pPr>
        <w:spacing w:after="0" w:line="162" w:lineRule="exact"/>
        <w:rPr>
          <w:sz w:val="20"/>
          <w:szCs w:val="20"/>
          <w:color w:val="auto"/>
        </w:rPr>
      </w:pPr>
    </w:p>
    <w:p>
      <w:pPr>
        <w:ind w:left="1280" w:right="5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1280" w:right="61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399" w:hanging="2"/>
        <w:spacing w:after="0" w:line="252" w:lineRule="auto"/>
        <w:tabs>
          <w:tab w:leader="none" w:pos="15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shares of common stock that is held by non-affiliates exceeds $700 million as of the prior June 30, and (2) the date on which we have issued more than $1.0 billion in non-convertible debt securities during the prior three-year period. References herein to “emerging growth company” shall have the meaning associated with it in the JOBS Act.</w:t>
      </w:r>
    </w:p>
    <w:p>
      <w:pPr>
        <w:spacing w:after="0" w:line="126" w:lineRule="exact"/>
        <w:rPr>
          <w:sz w:val="20"/>
          <w:szCs w:val="20"/>
          <w:color w:val="auto"/>
        </w:rPr>
      </w:pPr>
    </w:p>
    <w:p>
      <w:pPr>
        <w:ind w:left="1280" w:right="819" w:firstLine="360"/>
        <w:spacing w:after="0" w:line="272" w:lineRule="auto"/>
        <w:rPr>
          <w:sz w:val="20"/>
          <w:szCs w:val="20"/>
          <w:color w:val="auto"/>
        </w:rPr>
      </w:pPr>
      <w:r>
        <w:rPr>
          <w:rFonts w:ascii="Arial" w:cs="Arial" w:eastAsia="Arial" w:hAnsi="Arial"/>
          <w:sz w:val="17"/>
          <w:szCs w:val="17"/>
          <w:color w:val="auto"/>
        </w:rPr>
        <w:t>In addition,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end of the prior June 30, or (2) our annual revenues exceeded $100 million during such completed fiscal year and the market value of our shares of common stock held by non-affiliates exceeds $700 million as of the prior June 30.</w:t>
      </w:r>
    </w:p>
    <w:p>
      <w:pPr>
        <w:spacing w:after="0" w:line="110" w:lineRule="exact"/>
        <w:rPr>
          <w:sz w:val="20"/>
          <w:szCs w:val="20"/>
          <w:color w:val="auto"/>
        </w:rPr>
      </w:pPr>
    </w:p>
    <w:p>
      <w:pPr>
        <w:ind w:left="1280" w:right="799" w:firstLine="360"/>
        <w:spacing w:after="0" w:line="277" w:lineRule="auto"/>
        <w:rPr>
          <w:sz w:val="20"/>
          <w:szCs w:val="20"/>
          <w:color w:val="auto"/>
        </w:rPr>
      </w:pPr>
      <w:r>
        <w:rPr>
          <w:rFonts w:ascii="Arial" w:cs="Arial" w:eastAsia="Arial" w:hAnsi="Arial"/>
          <w:sz w:val="18"/>
          <w:szCs w:val="18"/>
          <w:color w:val="auto"/>
        </w:rPr>
        <w:t>Our executive offices are located at 16400 Dallas Parkway Dallas, Texas 75248, and our telephone number is 972-392-6180.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w:t>
      </w:r>
      <w:hyperlink w:anchor="page34">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w:t>
      </w:r>
    </w:p>
    <w:p>
      <w:pPr>
        <w:spacing w:after="0" w:line="8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15,000,000 units, at $10.00 per unit, each unit consisting of</w:t>
      </w:r>
    </w:p>
    <w:p>
      <w:pPr>
        <w:spacing w:after="0" w:line="175"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 share of common stock,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720"/>
        <w:spacing w:after="0"/>
        <w:rPr>
          <w:sz w:val="20"/>
          <w:szCs w:val="20"/>
          <w:color w:val="auto"/>
        </w:rPr>
      </w:pPr>
      <w:r>
        <w:rPr>
          <w:rFonts w:ascii="Arial" w:cs="Arial" w:eastAsia="Arial" w:hAnsi="Arial"/>
          <w:sz w:val="15"/>
          <w:szCs w:val="15"/>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60" w:right="140" w:hanging="179"/>
        <w:spacing w:after="0" w:line="289" w:lineRule="auto"/>
        <w:rPr>
          <w:sz w:val="20"/>
          <w:szCs w:val="20"/>
          <w:color w:val="auto"/>
        </w:rPr>
      </w:pPr>
      <w:r>
        <w:rPr>
          <w:rFonts w:ascii="Arial" w:cs="Arial" w:eastAsia="Arial" w:hAnsi="Arial"/>
          <w:sz w:val="17"/>
          <w:szCs w:val="17"/>
          <w:b w:val="1"/>
          <w:bCs w:val="1"/>
          <w:color w:val="auto"/>
        </w:rPr>
        <w:t>Trading commencement and separate trading of common stock and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60" w:right="20" w:hanging="179"/>
        <w:spacing w:after="0" w:line="329" w:lineRule="auto"/>
        <w:rPr>
          <w:sz w:val="20"/>
          <w:szCs w:val="20"/>
          <w:color w:val="auto"/>
        </w:rPr>
      </w:pPr>
      <w:r>
        <w:rPr>
          <w:rFonts w:ascii="Arial" w:cs="Arial" w:eastAsia="Arial" w:hAnsi="Arial"/>
          <w:sz w:val="15"/>
          <w:szCs w:val="15"/>
          <w:b w:val="1"/>
          <w:bCs w:val="1"/>
          <w:color w:val="auto"/>
        </w:rPr>
        <w:t>Separate trading of the common stock and rights is prohibited until we have filed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Number outstanding before</w:t>
      </w:r>
    </w:p>
    <w:p>
      <w:pPr>
        <w:spacing w:after="0" w:line="6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this 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720" w:right="439" w:hanging="358"/>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right to receive one-tenth (1/10) of a share of common stock upon consummation of our initial business combination, subject to adjustment as described in this prospectus.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Units: “ROC.U”</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Common Stock: “ROC”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Rights: “ROC.R”</w:t>
      </w:r>
    </w:p>
    <w:p>
      <w:pPr>
        <w:spacing w:after="0" w:line="200" w:lineRule="exact"/>
        <w:rPr>
          <w:sz w:val="20"/>
          <w:szCs w:val="20"/>
          <w:color w:val="auto"/>
        </w:rPr>
      </w:pPr>
    </w:p>
    <w:p>
      <w:pPr>
        <w:spacing w:after="0" w:line="349"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The units will begin trading promptly after the date of this prospectus. The common stock and rights comprising the units will begin separate trading on the 90th day following the date of this prospectus unless EarlyBirdCapital informs us of its decision to allow earlier separate trading, subject to our having filed the Current Report on Form 8-K described below and having issued a press release announcing when such separate trading will begin. Once the common stock and rights commence separate trading, holders will have the option to continue to hold units or separate their units into the component securities. Holders will need to have their brokers contact our transfer agent in order to separate the units into common stock and rights.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In no event will the common stock and rights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reflect the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units</w:t>
      </w:r>
    </w:p>
    <w:p>
      <w:pPr>
        <w:spacing w:after="0" w:line="214" w:lineRule="exact"/>
        <w:rPr>
          <w:sz w:val="20"/>
          <w:szCs w:val="20"/>
          <w:color w:val="auto"/>
        </w:rPr>
      </w:pPr>
    </w:p>
    <w:p>
      <w:pPr>
        <w:sectPr>
          <w:pgSz w:w="11900" w:h="16838" w:orient="portrait"/>
          <w:cols w:equalWidth="0" w:num="2">
            <w:col w:w="3680" w:space="620"/>
            <w:col w:w="55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Number to be outstanding</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after this offering</w:t>
      </w:r>
    </w:p>
    <w:p>
      <w:pPr>
        <w:spacing w:after="0" w:line="112" w:lineRule="exact"/>
        <w:rPr>
          <w:sz w:val="20"/>
          <w:szCs w:val="20"/>
          <w:color w:val="auto"/>
        </w:rPr>
      </w:pPr>
    </w:p>
    <w:p>
      <w:pPr>
        <w:jc w:val="center"/>
        <w:ind w:left="660"/>
        <w:spacing w:after="0"/>
        <w:rPr>
          <w:sz w:val="20"/>
          <w:szCs w:val="20"/>
          <w:color w:val="auto"/>
        </w:rPr>
      </w:pPr>
      <w:r>
        <w:rPr>
          <w:rFonts w:ascii="Arial" w:cs="Arial" w:eastAsia="Arial" w:hAnsi="Arial"/>
          <w:sz w:val="15"/>
          <w:szCs w:val="15"/>
          <w:b w:val="1"/>
          <w:bCs w:val="1"/>
          <w:color w:val="auto"/>
        </w:rPr>
        <w:t>Shares of common stock:</w:t>
      </w:r>
    </w:p>
    <w:p>
      <w:pPr>
        <w:spacing w:after="0" w:line="15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Number outstanding before</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this offering</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Number to be outstanding</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after this offering and sale</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of private units</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Rights: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Number outstanding before</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this offering</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Number to be outstanding</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after this offering and sale</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of private units</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Terms of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15,000,000 public units and 625,000 private units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4,462,500 shares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19,525,000 shares</w:t>
      </w:r>
      <w:r>
        <w:rPr>
          <w:rFonts w:ascii="Arial" w:cs="Arial" w:eastAsia="Arial" w:hAnsi="Arial"/>
          <w:sz w:val="26"/>
          <w:szCs w:val="26"/>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0 rights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15,000,000 public rights and 625,000 private rights</w:t>
      </w:r>
      <w:r>
        <w:rPr>
          <w:rFonts w:ascii="Arial" w:cs="Arial" w:eastAsia="Arial" w:hAnsi="Arial"/>
          <w:sz w:val="26"/>
          <w:szCs w:val="26"/>
          <w:color w:val="auto"/>
          <w:vertAlign w:val="superscript"/>
        </w:rPr>
        <w:t>(4)</w:t>
      </w:r>
    </w:p>
    <w:p>
      <w:pPr>
        <w:spacing w:after="0" w:line="75" w:lineRule="exact"/>
        <w:rPr>
          <w:sz w:val="20"/>
          <w:szCs w:val="20"/>
          <w:color w:val="auto"/>
        </w:rPr>
      </w:pPr>
    </w:p>
    <w:p>
      <w:pPr>
        <w:ind w:right="559"/>
        <w:spacing w:after="0" w:line="269" w:lineRule="auto"/>
        <w:rPr>
          <w:sz w:val="20"/>
          <w:szCs w:val="20"/>
          <w:color w:val="auto"/>
        </w:rPr>
      </w:pPr>
      <w:r>
        <w:rPr>
          <w:rFonts w:ascii="Arial" w:cs="Arial" w:eastAsia="Arial" w:hAnsi="Arial"/>
          <w:sz w:val="17"/>
          <w:szCs w:val="17"/>
          <w:color w:val="auto"/>
        </w:rPr>
        <w:t>Each holder of a right will receive one-tenth (1/10) of one share of common stock upon consummation of our initial business combination. In the event we will not be the surviving entity upon completion of our initial business combination, each holder of a right will be required to affirmatively convert its rights in order to receive the 1/10 share of common stock underlying each right (without paying any additional consideration). If we are unable to complete an initial business combination within the required time period and we redeem the public shares for the funds held in the trust account, holders of rights will not receive any such funds in exchange for their rights and the rights will expire worthless.</w:t>
      </w:r>
    </w:p>
    <w:p>
      <w:pPr>
        <w:spacing w:after="0" w:line="101" w:lineRule="exact"/>
        <w:rPr>
          <w:sz w:val="20"/>
          <w:szCs w:val="20"/>
          <w:color w:val="auto"/>
        </w:rPr>
      </w:pPr>
    </w:p>
    <w:p>
      <w:pPr>
        <w:ind w:right="419"/>
        <w:spacing w:after="0" w:line="269" w:lineRule="auto"/>
        <w:rPr>
          <w:sz w:val="20"/>
          <w:szCs w:val="20"/>
          <w:color w:val="auto"/>
        </w:rPr>
      </w:pPr>
      <w:r>
        <w:rPr>
          <w:rFonts w:ascii="Arial" w:cs="Arial" w:eastAsia="Arial" w:hAnsi="Arial"/>
          <w:sz w:val="17"/>
          <w:szCs w:val="17"/>
          <w:color w:val="auto"/>
        </w:rPr>
        <w:t>We will not issue fractional shares upon exchange of the rights. If, upon conversion of the rights, a holder would be entitled to receive a fractional interest in a share, we will round down to the nearest whole number of the number of shares to be issued to holder and, upon conversion, may pay in cash the fair value of fractions of a share as of the time when those entitled to receive such fractions are determined. Accordingly, unless you are separating a multiple of ten units, a portion of your rights may be forfeited. We will make the determination of how we are treating fractional shares at the time of our initial business combination and will include such determination in the proxy materials we will send to stockholders for their consideration of such initial business combination.</w:t>
      </w:r>
    </w:p>
    <w:p>
      <w:pPr>
        <w:spacing w:after="0" w:line="200" w:lineRule="exact"/>
        <w:rPr>
          <w:sz w:val="20"/>
          <w:szCs w:val="20"/>
          <w:color w:val="auto"/>
        </w:rPr>
      </w:pPr>
    </w:p>
    <w:p>
      <w:pPr>
        <w:sectPr>
          <w:pgSz w:w="11900" w:h="16838" w:orient="portrait"/>
          <w:cols w:equalWidth="0" w:num="2">
            <w:col w:w="3740" w:space="560"/>
            <w:col w:w="5579"/>
          </w:cols>
          <w:pgMar w:left="580" w:top="132" w:right="1440" w:bottom="1440" w:gutter="0" w:footer="0" w:header="0"/>
          <w:type w:val="continuous"/>
        </w:sectPr>
      </w:pPr>
    </w:p>
    <w:p>
      <w:pPr>
        <w:spacing w:after="0" w:line="6" w:lineRule="exact"/>
        <w:rPr>
          <w:sz w:val="20"/>
          <w:szCs w:val="20"/>
          <w:color w:val="auto"/>
        </w:rPr>
      </w:pPr>
    </w:p>
    <w:p>
      <w:pPr>
        <w:ind w:left="1640" w:hanging="362"/>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pacing w:after="0" w:line="76" w:lineRule="exact"/>
        <w:rPr>
          <w:rFonts w:ascii="Arial" w:cs="Arial" w:eastAsia="Arial" w:hAnsi="Arial"/>
          <w:sz w:val="18"/>
          <w:szCs w:val="18"/>
          <w:color w:val="auto"/>
        </w:rPr>
      </w:pPr>
    </w:p>
    <w:p>
      <w:pPr>
        <w:ind w:left="1640" w:right="479" w:hanging="362"/>
        <w:spacing w:after="0" w:line="263"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4,312,500 founder shares and 150,000 representative founder shares, and includes an aggregate of up to 562,500 shares of common stock held by our insiders that are subject to forfeiture if the over-allotment option is not fully exercised by the underwriters.</w:t>
      </w:r>
    </w:p>
    <w:p>
      <w:pPr>
        <w:spacing w:after="0" w:line="35" w:lineRule="exact"/>
        <w:rPr>
          <w:rFonts w:ascii="Arial" w:cs="Arial" w:eastAsia="Arial" w:hAnsi="Arial"/>
          <w:sz w:val="18"/>
          <w:szCs w:val="18"/>
          <w:color w:val="auto"/>
        </w:rPr>
      </w:pPr>
    </w:p>
    <w:p>
      <w:pPr>
        <w:ind w:left="1640" w:right="499" w:hanging="362"/>
        <w:spacing w:after="0" w:line="257"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15,000,000 public shares, 150,000 representative founder shares, and 625,000 shares underlying the private units and the 3,750,000 outstanding founder shares. If the over-allotment option is exercised in full, there will be a total of 22,405,000 shares of common stock outstanding, including 17,250,000 public shares, 150,000 representative founder shares, 692,500 shares underlying the private units, and 4,312,500 founder shares.</w:t>
      </w:r>
    </w:p>
    <w:p>
      <w:pPr>
        <w:spacing w:after="0" w:line="52" w:lineRule="exact"/>
        <w:rPr>
          <w:rFonts w:ascii="Arial" w:cs="Arial" w:eastAsia="Arial" w:hAnsi="Arial"/>
          <w:sz w:val="18"/>
          <w:szCs w:val="18"/>
          <w:color w:val="auto"/>
        </w:rPr>
      </w:pPr>
    </w:p>
    <w:p>
      <w:pPr>
        <w:ind w:left="1640" w:right="719" w:hanging="362"/>
        <w:spacing w:after="0" w:line="277"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over-allotment option is exercised in full, there will be a total of 17,250,000 public rights and 692,500 private rights outstanding.</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44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Offering proceeds to be held in</w:t>
      </w:r>
    </w:p>
    <w:p>
      <w:pPr>
        <w:spacing w:after="0" w:line="27" w:lineRule="exact"/>
        <w:rPr>
          <w:sz w:val="20"/>
          <w:szCs w:val="20"/>
          <w:color w:val="auto"/>
        </w:rPr>
      </w:pPr>
    </w:p>
    <w:p>
      <w:pPr>
        <w:ind w:left="4300" w:right="399" w:hanging="2839"/>
        <w:spacing w:after="0" w:line="265" w:lineRule="auto"/>
        <w:tabs>
          <w:tab w:leader="none" w:pos="4280" w:val="left"/>
        </w:tabs>
        <w:rPr>
          <w:sz w:val="20"/>
          <w:szCs w:val="20"/>
          <w:color w:val="auto"/>
        </w:rPr>
      </w:pPr>
      <w:r>
        <w:rPr>
          <w:rFonts w:ascii="Arial" w:cs="Arial" w:eastAsia="Arial" w:hAnsi="Arial"/>
          <w:sz w:val="17"/>
          <w:szCs w:val="17"/>
          <w:b w:val="1"/>
          <w:bCs w:val="1"/>
          <w:color w:val="auto"/>
        </w:rPr>
        <w:t>trust</w:t>
      </w:r>
      <w:r>
        <w:rPr>
          <w:sz w:val="20"/>
          <w:szCs w:val="20"/>
          <w:color w:val="auto"/>
        </w:rPr>
        <w:tab/>
      </w:r>
      <w:r>
        <w:rPr>
          <w:rFonts w:ascii="Arial" w:cs="Arial" w:eastAsia="Arial" w:hAnsi="Arial"/>
          <w:sz w:val="17"/>
          <w:szCs w:val="17"/>
          <w:color w:val="auto"/>
        </w:rPr>
        <w:t>$151,500,000 of the proceeds of this offering and the private placement (or $174,225,000 if the over-allotment option is exercised in full), or $10.10 per unit sold to the public in this offering (regardless of whether or not the overallotment option is exercised in full or part) will be deposited into a segregated trust account located in the United States with Continental Stock Transfer</w:t>
      </w:r>
    </w:p>
    <w:p>
      <w:pPr>
        <w:spacing w:after="0" w:line="1" w:lineRule="exact"/>
        <w:rPr>
          <w:sz w:val="20"/>
          <w:szCs w:val="20"/>
          <w:color w:val="auto"/>
        </w:rPr>
      </w:pPr>
    </w:p>
    <w:p>
      <w:pPr>
        <w:ind w:left="4300" w:right="499" w:firstLine="2"/>
        <w:spacing w:after="0" w:line="260" w:lineRule="auto"/>
        <w:tabs>
          <w:tab w:leader="none" w:pos="44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Trust Company, acting as trustee, pursuant to an agreement to be signed on the date of this prospectus.</w:t>
      </w:r>
    </w:p>
    <w:p>
      <w:pPr>
        <w:spacing w:after="0" w:line="104" w:lineRule="exact"/>
        <w:rPr>
          <w:sz w:val="20"/>
          <w:szCs w:val="20"/>
          <w:color w:val="auto"/>
        </w:rPr>
      </w:pPr>
    </w:p>
    <w:p>
      <w:pPr>
        <w:ind w:left="4300" w:right="459"/>
        <w:spacing w:after="0" w:line="253" w:lineRule="auto"/>
        <w:rPr>
          <w:sz w:val="20"/>
          <w:szCs w:val="20"/>
          <w:color w:val="auto"/>
        </w:rPr>
      </w:pPr>
      <w:r>
        <w:rPr>
          <w:rFonts w:ascii="Arial" w:cs="Arial" w:eastAsia="Arial" w:hAnsi="Arial"/>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24" w:lineRule="exact"/>
        <w:rPr>
          <w:sz w:val="20"/>
          <w:szCs w:val="20"/>
          <w:color w:val="auto"/>
        </w:rPr>
      </w:pPr>
    </w:p>
    <w:p>
      <w:pPr>
        <w:ind w:left="4300" w:right="479"/>
        <w:spacing w:after="0" w:line="286" w:lineRule="auto"/>
        <w:rPr>
          <w:sz w:val="20"/>
          <w:szCs w:val="20"/>
          <w:color w:val="auto"/>
        </w:rPr>
      </w:pPr>
      <w:r>
        <w:rPr>
          <w:rFonts w:ascii="Arial" w:cs="Arial" w:eastAsia="Arial" w:hAnsi="Arial"/>
          <w:sz w:val="17"/>
          <w:szCs w:val="17"/>
          <w:color w:val="auto"/>
        </w:rPr>
        <w:t>Notwithstanding the foregoing, there can be released to us from the trust account any interest earned on the funds in the trust account that we need to pay our income or other tax obligations.</w:t>
      </w:r>
    </w:p>
    <w:p>
      <w:pPr>
        <w:spacing w:after="0" w:line="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Anticipated expenses and funding</w:t>
      </w:r>
    </w:p>
    <w:p>
      <w:pPr>
        <w:spacing w:after="0" w:line="27" w:lineRule="exact"/>
        <w:rPr>
          <w:sz w:val="20"/>
          <w:szCs w:val="20"/>
          <w:color w:val="auto"/>
        </w:rPr>
      </w:pPr>
    </w:p>
    <w:p>
      <w:pPr>
        <w:ind w:left="4300" w:right="439" w:hanging="2839"/>
        <w:spacing w:after="0" w:line="266" w:lineRule="auto"/>
        <w:tabs>
          <w:tab w:leader="none" w:pos="4280" w:val="left"/>
        </w:tabs>
        <w:rPr>
          <w:sz w:val="20"/>
          <w:szCs w:val="20"/>
          <w:color w:val="auto"/>
        </w:rPr>
      </w:pPr>
      <w:r>
        <w:rPr>
          <w:rFonts w:ascii="Arial" w:cs="Arial" w:eastAsia="Arial" w:hAnsi="Arial"/>
          <w:sz w:val="17"/>
          <w:szCs w:val="17"/>
          <w:b w:val="1"/>
          <w:bCs w:val="1"/>
          <w:color w:val="auto"/>
        </w:rPr>
        <w:t>sources</w:t>
      </w:r>
      <w:r>
        <w:rPr>
          <w:sz w:val="20"/>
          <w:szCs w:val="20"/>
          <w:color w:val="auto"/>
        </w:rPr>
        <w:tab/>
      </w:r>
      <w:r>
        <w:rPr>
          <w:rFonts w:ascii="Arial" w:cs="Arial" w:eastAsia="Arial" w:hAnsi="Arial"/>
          <w:sz w:val="17"/>
          <w:szCs w:val="17"/>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$45,450 of interest annually assuming an interest rate of 0.03% per year; however, we can provide no assurances regarding this amount. Unless and until we complete our initial business combination, we may pay our expenses only from:</w:t>
      </w:r>
    </w:p>
    <w:p>
      <w:pPr>
        <w:spacing w:after="0" w:line="123" w:lineRule="exact"/>
        <w:rPr>
          <w:sz w:val="20"/>
          <w:szCs w:val="20"/>
          <w:color w:val="auto"/>
        </w:rPr>
      </w:pPr>
    </w:p>
    <w:p>
      <w:pPr>
        <w:ind w:left="5020" w:right="499" w:hanging="358"/>
        <w:spacing w:after="0" w:line="257" w:lineRule="auto"/>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units not held in the trust account, which initially will be approximately $1,000,000 in working capital after the payment of approximately $750,000 in expenses relating to this offering; and</w:t>
      </w:r>
    </w:p>
    <w:p>
      <w:pPr>
        <w:spacing w:after="0" w:line="120" w:lineRule="exact"/>
        <w:rPr>
          <w:rFonts w:ascii="Arial" w:cs="Arial" w:eastAsia="Arial" w:hAnsi="Arial"/>
          <w:sz w:val="18"/>
          <w:szCs w:val="18"/>
          <w:color w:val="auto"/>
        </w:rPr>
      </w:pPr>
    </w:p>
    <w:p>
      <w:pPr>
        <w:ind w:left="5020" w:right="459" w:hanging="358"/>
        <w:spacing w:after="0" w:line="272" w:lineRule="auto"/>
        <w:tabs>
          <w:tab w:leader="none" w:pos="5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 Each</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loan would be evidenced by a promissory note. The notes</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would either be paid upon consummation of our initial</w:t>
      </w:r>
    </w:p>
    <w:p>
      <w:pPr>
        <w:ind w:left="5020"/>
        <w:spacing w:after="0"/>
        <w:rPr>
          <w:sz w:val="20"/>
          <w:szCs w:val="20"/>
          <w:color w:val="auto"/>
        </w:rPr>
      </w:pPr>
      <w:r>
        <w:rPr>
          <w:rFonts w:ascii="Arial" w:cs="Arial" w:eastAsia="Arial" w:hAnsi="Arial"/>
          <w:sz w:val="17"/>
          <w:szCs w:val="17"/>
          <w:color w:val="auto"/>
        </w:rPr>
        <w:t>business combination, without interest, or, at the relevant</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insider’s discretion, up to $1,500,000 of the notes may be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converted upon consummation of our business</w:t>
      </w:r>
    </w:p>
    <w:p>
      <w:pPr>
        <w:ind w:left="5020"/>
        <w:spacing w:after="0"/>
        <w:rPr>
          <w:sz w:val="20"/>
          <w:szCs w:val="20"/>
          <w:color w:val="auto"/>
        </w:rPr>
      </w:pPr>
      <w:r>
        <w:rPr>
          <w:rFonts w:ascii="Arial" w:cs="Arial" w:eastAsia="Arial" w:hAnsi="Arial"/>
          <w:sz w:val="17"/>
          <w:szCs w:val="17"/>
          <w:color w:val="auto"/>
        </w:rPr>
        <w:t>combination into private units at a price of $10.00 per unit</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(which, for example, would result in the holders being</w:t>
      </w:r>
    </w:p>
    <w:p>
      <w:pPr>
        <w:ind w:left="5020"/>
        <w:spacing w:after="0" w:line="234" w:lineRule="auto"/>
        <w:rPr>
          <w:sz w:val="20"/>
          <w:szCs w:val="20"/>
          <w:color w:val="auto"/>
        </w:rPr>
      </w:pPr>
      <w:r>
        <w:rPr>
          <w:rFonts w:ascii="Arial" w:cs="Arial" w:eastAsia="Arial" w:hAnsi="Arial"/>
          <w:sz w:val="18"/>
          <w:szCs w:val="18"/>
          <w:color w:val="auto"/>
        </w:rPr>
        <w:t>issued 150,000 units if $1,500,000 of notes were so</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converted). If we do not complete a business combination,</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the loans will only be repaid with funds not held in the</w:t>
      </w:r>
    </w:p>
    <w:p>
      <w:pPr>
        <w:ind w:left="5020"/>
        <w:spacing w:after="0"/>
        <w:rPr>
          <w:sz w:val="20"/>
          <w:szCs w:val="20"/>
          <w:color w:val="auto"/>
        </w:rPr>
      </w:pPr>
      <w:r>
        <w:rPr>
          <w:rFonts w:ascii="Arial" w:cs="Arial" w:eastAsia="Arial" w:hAnsi="Arial"/>
          <w:sz w:val="18"/>
          <w:szCs w:val="18"/>
          <w:color w:val="auto"/>
        </w:rPr>
        <w:t>trust account, to the extent available.</w:t>
      </w:r>
    </w:p>
    <w:p>
      <w:pPr>
        <w:spacing w:after="0" w:line="84"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On October 7, 2021, our sponsor purchased 4,312,500 founder</w:t>
      </w:r>
    </w:p>
    <w:p>
      <w:pPr>
        <w:spacing w:after="0" w:line="27" w:lineRule="exact"/>
        <w:rPr>
          <w:sz w:val="20"/>
          <w:szCs w:val="20"/>
          <w:color w:val="auto"/>
        </w:rPr>
      </w:pPr>
    </w:p>
    <w:p>
      <w:pPr>
        <w:ind w:left="4300" w:right="419"/>
        <w:spacing w:after="0" w:line="283" w:lineRule="auto"/>
        <w:rPr>
          <w:sz w:val="20"/>
          <w:szCs w:val="20"/>
          <w:color w:val="auto"/>
        </w:rPr>
      </w:pPr>
      <w:r>
        <w:rPr>
          <w:rFonts w:ascii="Arial" w:cs="Arial" w:eastAsia="Arial" w:hAnsi="Arial"/>
          <w:sz w:val="16"/>
          <w:szCs w:val="16"/>
          <w:color w:val="auto"/>
        </w:rPr>
        <w:t>shares for an aggregate purchase price of $25,000, or approximately $0.006 per share. Prior to the initial investment in the company of $25,000 by our sponsor, the company had no assets, tangible or intangible. The per share purchase price of the founder shares was determined by dividing the amount of cash contributed to us by the aggregate number of founder shares issued. The number of founder shares issued was determined based on the expectation that the founder shares would represent 20% of the outstanding shares after this offering (not including the private units and underlying securities and the representative founder shares and assuming they do not purchase units in this offering). Up to 562,500 founder are shares subject to forfeiture to the extent that the underwriters’ over-allotment option is not exercised in full. Our insiders will collectively beneficially own approximately 20% of our issued and outstanding shares after this offering (not including the private units and underlying securities and the representative founder shares and assuming they do not purchase units in this offering).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founder shares by our insiders at 20% of our outstanding shares of common stock after this offering.</w:t>
      </w:r>
    </w:p>
    <w:p>
      <w:pPr>
        <w:spacing w:after="0" w:line="3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founder shares are identical to the shares of common stock</w:t>
      </w:r>
    </w:p>
    <w:p>
      <w:pPr>
        <w:spacing w:after="0" w:line="1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included in the units being sold in this offering, except that:</w:t>
      </w:r>
    </w:p>
    <w:p>
      <w:pPr>
        <w:spacing w:after="0" w:line="115"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subject to certain transfer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restrictions, as described in more detail below;</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insiders have entered into letter agreements with us,</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pursuant to which they have agreed (i) to waive their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redemption rights with respect to their founder shares,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private shares and any public shares they purchase in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combination and (ii) to waive their redemption rights with</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respect to their founder shares and private shares if we fail</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to complete our initial business combination within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12 months from the closing of this offering (or up to 18</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months from the closing of this offering if we extend the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period of time to consummate a business combination)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(although they will be entitled to redemption rights with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respect to any public shares they hold if we fail to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complete our business combination within the prescribed</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time frame);</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7"/>
              </w:rPr>
              <w:t>if we submit our initial business combination to our public</w:t>
            </w:r>
          </w:p>
        </w:tc>
      </w:tr>
      <w:tr>
        <w:trPr>
          <w:trHeight w:val="216"/>
        </w:trPr>
        <w:tc>
          <w:tcPr>
            <w:tcW w:w="2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w w:val="98"/>
              </w:rPr>
              <w:t>stockholders for a vote, our insiders have agreed to vote</w:t>
            </w:r>
          </w:p>
        </w:tc>
      </w:tr>
      <w:tr>
        <w:trPr>
          <w:trHeight w:val="216"/>
        </w:trPr>
        <w:tc>
          <w:tcPr>
            <w:tcW w:w="2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w w:val="95"/>
              </w:rPr>
              <w:t>their founder shares, private shares and any public shares</w:t>
            </w:r>
          </w:p>
        </w:tc>
      </w:tr>
      <w:tr>
        <w:trPr>
          <w:trHeight w:val="216"/>
        </w:trPr>
        <w:tc>
          <w:tcPr>
            <w:tcW w:w="2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purchased during or after this offering in favor of our</w:t>
            </w:r>
          </w:p>
        </w:tc>
      </w:tr>
      <w:tr>
        <w:trPr>
          <w:trHeight w:val="230"/>
        </w:trPr>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initial business combination; and</w:t>
            </w:r>
          </w:p>
        </w:tc>
      </w:tr>
      <w:tr>
        <w:trPr>
          <w:trHeight w:val="337"/>
        </w:trPr>
        <w:tc>
          <w:tcPr>
            <w:tcW w:w="268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the founder shares and private units are entitled to</w:t>
            </w:r>
          </w:p>
        </w:tc>
      </w:tr>
      <w:tr>
        <w:trPr>
          <w:trHeight w:val="230"/>
        </w:trPr>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registration rights.</w:t>
            </w:r>
          </w:p>
        </w:tc>
      </w:tr>
      <w:tr>
        <w:trPr>
          <w:trHeight w:val="350"/>
        </w:trPr>
        <w:tc>
          <w:tcPr>
            <w:tcW w:w="2680" w:type="dxa"/>
            <w:vAlign w:val="bottom"/>
          </w:tcPr>
          <w:p>
            <w:pPr>
              <w:spacing w:after="0"/>
              <w:rPr>
                <w:sz w:val="24"/>
                <w:szCs w:val="24"/>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6"/>
              </w:rPr>
              <w:t>As a result of our insiders’ agreement to vote in favor of a business</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8"/>
              </w:rPr>
              <w:t>combination, in addition to the founder shares and private shares,</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6"/>
              </w:rPr>
              <w:t>we would need only 5,387,501, or approximately 35.9% (assuming</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4"/>
              </w:rPr>
              <w:t>all outstanding shares are voted and the over-allotment option is not</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8"/>
              </w:rPr>
              <w:t>exercised) or 506,251, or approximately 3.4% (assuming only the</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3"/>
              </w:rPr>
              <w:t>minimum number of shares representing a quorum are voted and the</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over-allotment option is not exercised), of the 15,000,000 public</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6"/>
              </w:rPr>
              <w:t>shares sold in this offering to be voted in favor of an initial business</w:t>
            </w:r>
          </w:p>
        </w:tc>
      </w:tr>
      <w:tr>
        <w:trPr>
          <w:trHeight w:val="230"/>
        </w:trPr>
        <w:tc>
          <w:tcPr>
            <w:tcW w:w="2680" w:type="dxa"/>
            <w:vAlign w:val="bottom"/>
          </w:tcPr>
          <w:p>
            <w:pPr>
              <w:spacing w:after="0"/>
              <w:rPr>
                <w:sz w:val="20"/>
                <w:szCs w:val="20"/>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combination.</w:t>
            </w:r>
          </w:p>
        </w:tc>
      </w:tr>
      <w:tr>
        <w:trPr>
          <w:trHeight w:val="306"/>
        </w:trPr>
        <w:tc>
          <w:tcPr>
            <w:tcW w:w="2680" w:type="dxa"/>
            <w:vAlign w:val="bottom"/>
          </w:tcPr>
          <w:p>
            <w:pPr>
              <w:spacing w:after="0"/>
              <w:rPr>
                <w:sz w:val="20"/>
                <w:szCs w:val="20"/>
                <w:color w:val="auto"/>
              </w:rPr>
            </w:pPr>
            <w:r>
              <w:rPr>
                <w:rFonts w:ascii="Arial" w:cs="Arial" w:eastAsia="Arial" w:hAnsi="Arial"/>
                <w:sz w:val="18"/>
                <w:szCs w:val="18"/>
                <w:b w:val="1"/>
                <w:bCs w:val="1"/>
                <w:color w:val="auto"/>
                <w:w w:val="97"/>
              </w:rPr>
              <w:t>Transfer restrictions on founder</w:t>
            </w:r>
          </w:p>
        </w:tc>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20"/>
        </w:trPr>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shares</w:t>
            </w: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4"/>
              </w:rPr>
              <w:t>Our insiders have agreed not to transfer, assign, sell or release from</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escrow any of the founder shares (except to certain permitted</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5"/>
              </w:rPr>
              <w:t>transferees) until, (X) with respect to 50% of the founder shares, the</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9"/>
              </w:rPr>
              <w:t>earlier of (i) the one-year anniversary of the consummation of our</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9"/>
              </w:rPr>
              <w:t>initial business combination and (ii) the date on which the closing</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6"/>
              </w:rPr>
              <w:t>price of our common stock equals or exceeds $12.50 per share (as</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adjusted for stock splits, stock dividends, reorganizations and</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7"/>
              </w:rPr>
              <w:t>recapitalizations) for any 20 trading days within any 30-trading day</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period commencing after our initial business combination and</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9"/>
              </w:rPr>
              <w:t>(Y) with respect to the remaining 50% of the founder shares, until</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the one-year anniversary of the consummation of our initial</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7"/>
              </w:rPr>
              <w:t>business combination, or earlier in each case if, subsequent to our</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initial business combination, we complete a liquidation, merger,</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stock exchange or other similar transaction which results in all of</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our stockholders having the right to exchange their shares of</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9"/>
              </w:rPr>
              <w:t>common stock for cash, securities or other property. The founder</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shares will be held in escrow with Continental Stock Transfer &amp;</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9"/>
              </w:rPr>
              <w:t>Trust Company during the period in which they are subject to the</w:t>
            </w:r>
          </w:p>
        </w:tc>
      </w:tr>
      <w:tr>
        <w:trPr>
          <w:trHeight w:val="230"/>
        </w:trPr>
        <w:tc>
          <w:tcPr>
            <w:tcW w:w="2680" w:type="dxa"/>
            <w:vAlign w:val="bottom"/>
          </w:tcPr>
          <w:p>
            <w:pPr>
              <w:spacing w:after="0"/>
              <w:rPr>
                <w:sz w:val="20"/>
                <w:szCs w:val="20"/>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transfer restrictions described above.</w:t>
            </w:r>
          </w:p>
        </w:tc>
      </w:tr>
      <w:tr>
        <w:trPr>
          <w:trHeight w:val="310"/>
        </w:trPr>
        <w:tc>
          <w:tcPr>
            <w:tcW w:w="268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Our sponsor has committed to purchase from us 625,000</w:t>
            </w:r>
          </w:p>
        </w:tc>
      </w:tr>
      <w:tr>
        <w:trPr>
          <w:trHeight w:val="216"/>
        </w:trPr>
        <w:tc>
          <w:tcPr>
            <w:tcW w:w="268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6"/>
              </w:rPr>
              <w:t>private units (or 692,500 private units if the over-allotment option is</w:t>
            </w:r>
          </w:p>
        </w:tc>
      </w:tr>
      <w:tr>
        <w:trPr>
          <w:trHeight w:val="230"/>
        </w:trPr>
        <w:tc>
          <w:tcPr>
            <w:tcW w:w="2680" w:type="dxa"/>
            <w:vAlign w:val="bottom"/>
          </w:tcPr>
          <w:p>
            <w:pPr>
              <w:spacing w:after="0"/>
              <w:rPr>
                <w:sz w:val="20"/>
                <w:szCs w:val="20"/>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8"/>
              </w:rPr>
              <w:t>exercised in full), or “private units,” at $10.00 per private unit for a</w:t>
            </w:r>
          </w:p>
        </w:tc>
      </w:tr>
    </w:tbl>
    <w:p>
      <w:pPr>
        <w:ind w:left="4300" w:right="519"/>
        <w:spacing w:after="0" w:line="253" w:lineRule="auto"/>
        <w:rPr>
          <w:sz w:val="20"/>
          <w:szCs w:val="20"/>
          <w:color w:val="auto"/>
        </w:rPr>
      </w:pPr>
      <w:r>
        <w:rPr>
          <w:rFonts w:ascii="Arial" w:cs="Arial" w:eastAsia="Arial" w:hAnsi="Arial"/>
          <w:sz w:val="18"/>
          <w:szCs w:val="18"/>
          <w:color w:val="auto"/>
        </w:rPr>
        <w:t>total purchase price of $6,250,000 (or $6,925,000 if the over-allotment option is exercised in full). The private units will be sold in a private placement that will close simultaneously with the closing of this offering. The private units are identical to the public units, except as provided herein.</w:t>
      </w:r>
    </w:p>
    <w:p>
      <w:pPr>
        <w:spacing w:after="0" w:line="123" w:lineRule="exact"/>
        <w:rPr>
          <w:sz w:val="20"/>
          <w:szCs w:val="20"/>
          <w:color w:val="auto"/>
        </w:rPr>
      </w:pPr>
    </w:p>
    <w:p>
      <w:pPr>
        <w:ind w:left="4300" w:right="559"/>
        <w:spacing w:after="0" w:line="257" w:lineRule="auto"/>
        <w:rPr>
          <w:sz w:val="20"/>
          <w:szCs w:val="20"/>
          <w:color w:val="auto"/>
        </w:rPr>
      </w:pPr>
      <w:r>
        <w:rPr>
          <w:rFonts w:ascii="Arial" w:cs="Arial" w:eastAsia="Arial" w:hAnsi="Arial"/>
          <w:sz w:val="18"/>
          <w:szCs w:val="18"/>
          <w:color w:val="auto"/>
        </w:rPr>
        <w:t>If we do not complete our initial business combination within 12 months from the closing of this offering (or up to 18 months from the closing of this offering if we extend the period of time to consummate a business combination), our private units will expire worthless.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b w:val="1"/>
          <w:bCs w:val="1"/>
          <w:color w:val="auto"/>
        </w:rPr>
        <w:t>private units</w:t>
      </w:r>
      <w:r>
        <w:rPr>
          <w:sz w:val="20"/>
          <w:szCs w:val="20"/>
          <w:color w:val="auto"/>
        </w:rPr>
        <w:tab/>
      </w:r>
      <w:r>
        <w:rPr>
          <w:rFonts w:ascii="Arial" w:cs="Arial" w:eastAsia="Arial" w:hAnsi="Arial"/>
          <w:sz w:val="17"/>
          <w:szCs w:val="17"/>
          <w:color w:val="auto"/>
        </w:rPr>
        <w:t>The private units, the underlying private shares and private rights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will not be transferable, assignable or salable until after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consummation of our initial business combination, except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permitted transferees.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Ability to extend time to complete</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If we anticipate that we may not be able to consummate our initial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business combination within 12 months, we may, by resolution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our board if requested by our sponsor, extend the period of time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consummate a business combination up to two times, each by an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additional three months (for a total of up to 18 months to complete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business combination), subject to the sponsor depositing additional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funds into the trust account as set forth below. Pursuant to the terms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our amended and restated certificate of incorporation and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trust agreement to be entered into between us and Continental Stock</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Transfer &amp; Trust Company on the date of this prospectus, in order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 the time available for us to consummate our initial business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combination to be extended, our sponsor or its affiliates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designees, upon five days advance notice prior to the applicable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deadline, must deposit into the trust account $1,500,000,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$1,725,000 if the underwriters’ over-allotment option is exercised in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full ($0.10 per unit in either case), on or prior to the date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applicable deadline, for each of the available three-month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extensions, providing a total possible business combination period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of 18 months for a total payment of $3,000,000, or $3,450,000 if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underwriters’ over-allotment option is exercised in full ($0.10 per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unit in either case). Any such payments would be made in the form</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non-interest bearing loans. If we complete our initial business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combination, we will, at the option of our sponsor, repay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loaned amounts out of the proceeds of the trust account released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us or convert a portion or all of the total loan amount into units at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price of $10.00 per unit, which units will be identical to the private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units. If we do not complete a business combination, we will repay</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such loans only from funds held outside of the trust account. Our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stockholders will not be entitled to vote or redeem their shares in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connection with any such extension.</w:t>
      </w:r>
    </w:p>
    <w:p>
      <w:pPr>
        <w:spacing w:after="0" w:line="130" w:lineRule="exact"/>
        <w:rPr>
          <w:sz w:val="20"/>
          <w:szCs w:val="20"/>
          <w:color w:val="auto"/>
        </w:rPr>
      </w:pPr>
    </w:p>
    <w:p>
      <w:pPr>
        <w:ind w:left="4300" w:right="399"/>
        <w:spacing w:after="0" w:line="268" w:lineRule="auto"/>
        <w:rPr>
          <w:sz w:val="20"/>
          <w:szCs w:val="20"/>
          <w:color w:val="auto"/>
        </w:rPr>
      </w:pPr>
      <w:r>
        <w:rPr>
          <w:rFonts w:ascii="Arial" w:cs="Arial" w:eastAsia="Arial" w:hAnsi="Arial"/>
          <w:sz w:val="17"/>
          <w:szCs w:val="17"/>
          <w:color w:val="auto"/>
        </w:rPr>
        <w:t>Our stockholders will be entitled to vote and redeem their shares in connection with a stockholder meeting held to approve an initial business combination or in a tender offer undertaken in connection with such an initial business combination if we propose such a business combination during any three-month extension period. In the event that we receive notice from our sponsor five days prior to the applicable deadline of its wish for us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sponsor and its affiliates or designees are not obligated to fund the trust account to extend the time for us to complete our initial business combination.</w:t>
      </w:r>
    </w:p>
    <w:p>
      <w:pPr>
        <w:spacing w:after="0" w:line="72"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w:t>
      </w:r>
    </w:p>
    <w:p>
      <w:pPr>
        <w:spacing w:after="0" w:line="27" w:lineRule="exact"/>
        <w:rPr>
          <w:sz w:val="20"/>
          <w:szCs w:val="20"/>
          <w:color w:val="auto"/>
        </w:rPr>
      </w:pPr>
    </w:p>
    <w:p>
      <w:pPr>
        <w:ind w:left="4300" w:right="419"/>
        <w:spacing w:after="0" w:line="260" w:lineRule="auto"/>
        <w:rPr>
          <w:sz w:val="20"/>
          <w:szCs w:val="20"/>
          <w:color w:val="auto"/>
        </w:rPr>
      </w:pPr>
      <w:r>
        <w:rPr>
          <w:rFonts w:ascii="Arial" w:cs="Arial" w:eastAsia="Arial" w:hAnsi="Arial"/>
          <w:sz w:val="18"/>
          <w:szCs w:val="18"/>
          <w:color w:val="auto"/>
        </w:rPr>
        <w:t>to our insiders or any of the members of our management team prior to, or for any services they render in order to effectuate,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61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39"/>
        <w:spacing w:after="0" w:line="277" w:lineRule="auto"/>
        <w:rPr>
          <w:sz w:val="20"/>
          <w:szCs w:val="20"/>
          <w:color w:val="auto"/>
        </w:rPr>
      </w:pPr>
      <w:r>
        <w:rPr>
          <w:rFonts w:ascii="Arial" w:cs="Arial" w:eastAsia="Arial" w:hAnsi="Arial"/>
          <w:sz w:val="18"/>
          <w:szCs w:val="18"/>
          <w:color w:val="auto"/>
        </w:rPr>
        <w:t>consummation of our initial business combination (regardless of the type of transaction that it is) other than:</w:t>
      </w:r>
    </w:p>
    <w:p>
      <w:pPr>
        <w:spacing w:after="0" w:line="10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at the closing of this offering of non-interest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bearing loans up to an aggregate amount of $300,000;</w:t>
      </w:r>
    </w:p>
    <w:p>
      <w:pPr>
        <w:spacing w:after="0" w:line="130"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of an aggregate of $13,000 per month to Fifth</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Partners, an affiliate of our sponsor and our Chief</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Executive Officer, for office space and related services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 our</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insiders or any of their affiliates in connection with certain</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activities on our behalf, such as identifying and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investigating possible business targets and business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combinations; and</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insiders or</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any of their affiliates to finance transaction costs in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connection with an initial business combination, the terms</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of which have not been determined. Up to $1,500,000 of</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such loans may be convertible into units, at a price of</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$10.00 per unit, at the option of the lender.</w:t>
      </w:r>
    </w:p>
    <w:p>
      <w:pPr>
        <w:spacing w:after="0" w:line="130" w:lineRule="exact"/>
        <w:rPr>
          <w:sz w:val="20"/>
          <w:szCs w:val="20"/>
          <w:color w:val="auto"/>
        </w:rPr>
      </w:pPr>
    </w:p>
    <w:p>
      <w:pPr>
        <w:ind w:left="4300" w:right="439"/>
        <w:spacing w:after="0" w:line="252" w:lineRule="auto"/>
        <w:rPr>
          <w:sz w:val="20"/>
          <w:szCs w:val="20"/>
          <w:color w:val="auto"/>
        </w:rPr>
      </w:pPr>
      <w:r>
        <w:rPr>
          <w:rFonts w:ascii="Arial" w:cs="Arial" w:eastAsia="Arial" w:hAnsi="Arial"/>
          <w:sz w:val="18"/>
          <w:szCs w:val="18"/>
          <w:color w:val="auto"/>
        </w:rPr>
        <w:t>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85"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7"/>
          <w:szCs w:val="17"/>
          <w:color w:val="auto"/>
        </w:rPr>
        <w:t>We have established and will maintain an audit committee, which is</w:t>
      </w:r>
    </w:p>
    <w:p>
      <w:pPr>
        <w:spacing w:after="0" w:line="27" w:lineRule="exact"/>
        <w:rPr>
          <w:sz w:val="20"/>
          <w:szCs w:val="20"/>
          <w:color w:val="auto"/>
        </w:rPr>
      </w:pPr>
    </w:p>
    <w:p>
      <w:pPr>
        <w:ind w:left="4300" w:right="419"/>
        <w:spacing w:after="0" w:line="268" w:lineRule="auto"/>
        <w:rPr>
          <w:sz w:val="20"/>
          <w:szCs w:val="20"/>
          <w:color w:val="auto"/>
        </w:rPr>
      </w:pPr>
      <w:r>
        <w:rPr>
          <w:rFonts w:ascii="Arial" w:cs="Arial" w:eastAsia="Arial" w:hAnsi="Arial"/>
          <w:sz w:val="17"/>
          <w:szCs w:val="17"/>
          <w:color w:val="auto"/>
        </w:rPr>
        <w:t>composed entirely of independent directors. Among its responsibilities, the audit committee will review on a quarterly basis all payments that were made to our sponsor, officers or directors, or our or their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Conditions to completing our</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b w:val="1"/>
          <w:bCs w:val="1"/>
          <w:color w:val="auto"/>
        </w:rPr>
        <w:t>initial business combination</w:t>
      </w:r>
      <w:r>
        <w:rPr>
          <w:sz w:val="20"/>
          <w:szCs w:val="20"/>
          <w:color w:val="auto"/>
        </w:rPr>
        <w:tab/>
      </w:r>
      <w:r>
        <w:rPr>
          <w:rFonts w:ascii="Arial" w:cs="Arial" w:eastAsia="Arial" w:hAnsi="Arial"/>
          <w:sz w:val="17"/>
          <w:szCs w:val="17"/>
          <w:color w:val="auto"/>
        </w:rPr>
        <w:t>NYSE rules require that we must consummate an initial business</w:t>
      </w:r>
    </w:p>
    <w:p>
      <w:pPr>
        <w:spacing w:after="0" w:line="9" w:lineRule="exact"/>
        <w:rPr>
          <w:sz w:val="20"/>
          <w:szCs w:val="20"/>
          <w:color w:val="auto"/>
        </w:rPr>
      </w:pPr>
    </w:p>
    <w:p>
      <w:pPr>
        <w:ind w:left="4300" w:right="479"/>
        <w:spacing w:after="0" w:line="252" w:lineRule="auto"/>
        <w:rPr>
          <w:sz w:val="20"/>
          <w:szCs w:val="20"/>
          <w:color w:val="auto"/>
        </w:rPr>
      </w:pPr>
      <w:r>
        <w:rPr>
          <w:rFonts w:ascii="Arial" w:cs="Arial" w:eastAsia="Arial" w:hAnsi="Arial"/>
          <w:sz w:val="18"/>
          <w:szCs w:val="18"/>
          <w:color w:val="auto"/>
        </w:rPr>
        <w:t>combination with one or more operating businesses or assets with a fair market value equal to at least 80% of the net assets held in the trust account (excluding any taxes payable). If our board of directors is not able to independently determine the fair market value of our initial business combination, we will obtain an opinion from an independent investment banking firm or another independent</w:t>
      </w:r>
    </w:p>
    <w:p>
      <w:pPr>
        <w:sectPr>
          <w:pgSz w:w="11900" w:h="16838" w:orient="portrait"/>
          <w:cols w:equalWidth="0" w:num="1">
            <w:col w:w="9879"/>
          </w:cols>
          <w:pgMar w:left="580" w:top="131" w:right="1440" w:bottom="1440" w:gutter="0" w:footer="0" w:header="0"/>
        </w:sect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60" w:right="100" w:hanging="179"/>
        <w:spacing w:after="0" w:line="266" w:lineRule="auto"/>
        <w:rPr>
          <w:sz w:val="20"/>
          <w:szCs w:val="20"/>
          <w:color w:val="auto"/>
        </w:rPr>
      </w:pPr>
      <w:r>
        <w:rPr>
          <w:rFonts w:ascii="Arial" w:cs="Arial" w:eastAsia="Arial" w:hAnsi="Arial"/>
          <w:sz w:val="18"/>
          <w:szCs w:val="18"/>
          <w:b w:val="1"/>
          <w:bCs w:val="1"/>
          <w:color w:val="auto"/>
        </w:rPr>
        <w:t>Permitted purchases of public shares and rights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59"/>
        <w:spacing w:after="0" w:line="267" w:lineRule="auto"/>
        <w:rPr>
          <w:sz w:val="20"/>
          <w:szCs w:val="20"/>
          <w:color w:val="auto"/>
        </w:rPr>
      </w:pPr>
      <w:r>
        <w:rPr>
          <w:rFonts w:ascii="Arial" w:cs="Arial" w:eastAsia="Arial" w:hAnsi="Arial"/>
          <w:sz w:val="17"/>
          <w:szCs w:val="17"/>
          <w:color w:val="auto"/>
        </w:rPr>
        <w:t>valuation or appraisal firm that regularly provides fairness opinions solely with respect to the satisfaction of such criteria. While we consider it unlikely that our board will not be able to make such independent determination of fair market value,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meets the 80% fair market value test, unless such opinion includes material information regarding the valuation of a target business or the consideration to be provided, it is not anticipated that copies of such opinion would be distributed to our stockholders. However, if required under applicable law, any proxy statement that we deliver to stockholders and file with the SEC in connection with a proposed transaction will include such opinion.</w:t>
      </w:r>
    </w:p>
    <w:p>
      <w:pPr>
        <w:spacing w:after="0" w:line="200" w:lineRule="exact"/>
        <w:rPr>
          <w:sz w:val="20"/>
          <w:szCs w:val="20"/>
          <w:color w:val="auto"/>
        </w:rPr>
      </w:pPr>
    </w:p>
    <w:p>
      <w:pPr>
        <w:spacing w:after="0" w:line="312" w:lineRule="exact"/>
        <w:rPr>
          <w:sz w:val="20"/>
          <w:szCs w:val="20"/>
          <w:color w:val="auto"/>
        </w:rPr>
      </w:pPr>
    </w:p>
    <w:p>
      <w:pPr>
        <w:ind w:right="419"/>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or their respective affiliates may, under certain circumstances, purchase shares or rights in privately negotiated transactions or in the open market either prior to or following the completion of our initial business combination. Please see “Proposed Business — Permitted purchases of our securities” for a description of how such persons will determine which stockholders to seek to acquire shares from. There is no limit on the number of shares such persons may purchase, or any restriction on the price that they may pay. Any such price per share may be different than the amount per share a public stockholder would receive if it elected to redeem its shares in connection with our initial business combination.</w:t>
      </w:r>
    </w:p>
    <w:p>
      <w:pPr>
        <w:spacing w:after="0" w:line="101"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However, such persons have no current commitments, plans or intentions to engage in such transactions and have not formulated any terms or conditions for any such transactions. In the event our sponsor, directors, officers, or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shares in such transactions. If they engage in such transactions, they will not make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(i) refrain from purchasing shares during certain blackout periods and when they are in such transactions, they will not make any such purchases when they are in possession of any material non-public information not disclosed to the seller or if such purchases are</w:t>
      </w:r>
    </w:p>
    <w:p>
      <w:pPr>
        <w:spacing w:after="0" w:line="200" w:lineRule="exact"/>
        <w:rPr>
          <w:sz w:val="20"/>
          <w:szCs w:val="20"/>
          <w:color w:val="auto"/>
        </w:rPr>
      </w:pPr>
    </w:p>
    <w:p>
      <w:pPr>
        <w:sectPr>
          <w:pgSz w:w="11900" w:h="16838" w:orient="portrait"/>
          <w:cols w:equalWidth="0" w:num="2">
            <w:col w:w="3580" w:space="720"/>
            <w:col w:w="5579"/>
          </w:cols>
          <w:pgMar w:left="580" w:top="131" w:right="1440" w:bottom="1440" w:gutter="0" w:footer="0" w:header="0"/>
          <w:type w:val="continuous"/>
        </w:sect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60" w:hanging="179"/>
        <w:spacing w:after="0" w:line="261" w:lineRule="auto"/>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prohibited by Regulation M under the Exchange Act. Subsequent to the consummation of this offering, we will adopt an insider trading policy which will require insiders to: (i) refrain from purchasing shares during certain blackout periods and when they are in possession of any material non-public information and (ii) to clear all trades with our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-1790700</wp:posOffset>
            </wp:positionV>
            <wp:extent cx="5516245" cy="8061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78" w:lineRule="exact"/>
        <w:rPr>
          <w:sz w:val="20"/>
          <w:szCs w:val="20"/>
          <w:color w:val="auto"/>
        </w:rPr>
      </w:pPr>
    </w:p>
    <w:p>
      <w:pPr>
        <w:ind w:right="419"/>
        <w:spacing w:after="0" w:line="270"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or their respective affiliates will not make any purchases if the purchases would violate Section 9(a)(2) or Rule 10b-5 of the Exchange 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w:t>
      </w:r>
    </w:p>
    <w:p>
      <w:pPr>
        <w:spacing w:after="0" w:line="129" w:lineRule="exact"/>
        <w:rPr>
          <w:sz w:val="20"/>
          <w:szCs w:val="20"/>
          <w:color w:val="auto"/>
        </w:rPr>
      </w:pPr>
    </w:p>
    <w:p>
      <w:pPr>
        <w:ind w:right="499"/>
        <w:spacing w:after="0" w:line="253" w:lineRule="auto"/>
        <w:rPr>
          <w:sz w:val="20"/>
          <w:szCs w:val="20"/>
          <w:color w:val="auto"/>
        </w:rPr>
      </w:pPr>
      <w:r>
        <w:rPr>
          <w:rFonts w:ascii="Arial" w:cs="Arial" w:eastAsia="Arial" w:hAnsi="Arial"/>
          <w:sz w:val="18"/>
          <w:szCs w:val="18"/>
          <w:color w:val="auto"/>
        </w:rPr>
        <w:t>The amount in the trust account is initially anticipated to be $10.10 per public share. There will be no redemption rights upon the completion of our initial business combination with respect to our rights. Our sponsor, officers and directors have entered into a letter agreement with us, pursuant to which they have agreed to waive their redemption rights with respect to their founder shares, private shares and any public shares they may acquire during or after this offering in connection with the completion of our initial business combination.</w:t>
      </w:r>
    </w:p>
    <w:p>
      <w:pPr>
        <w:spacing w:after="0" w:line="84" w:lineRule="exact"/>
        <w:rPr>
          <w:sz w:val="20"/>
          <w:szCs w:val="20"/>
          <w:color w:val="auto"/>
        </w:rPr>
      </w:pPr>
    </w:p>
    <w:p>
      <w:pPr>
        <w:sectPr>
          <w:pgSz w:w="11900" w:h="16838" w:orient="portrait"/>
          <w:cols w:equalWidth="0" w:num="2">
            <w:col w:w="3840" w:space="460"/>
            <w:col w:w="5579"/>
          </w:cols>
          <w:pgMar w:left="580" w:top="131" w:right="1440" w:bottom="1440" w:gutter="0" w:footer="0" w:header="0"/>
        </w:sectPr>
      </w:pPr>
    </w:p>
    <w:p>
      <w:pPr>
        <w:ind w:left="128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4300" w:right="419" w:hanging="2839"/>
        <w:spacing w:after="0" w:line="265" w:lineRule="auto"/>
        <w:tabs>
          <w:tab w:leader="none" w:pos="4280" w:val="left"/>
        </w:tabs>
        <w:rPr>
          <w:sz w:val="20"/>
          <w:szCs w:val="20"/>
          <w:color w:val="auto"/>
        </w:rPr>
      </w:pPr>
      <w:r>
        <w:rPr>
          <w:rFonts w:ascii="Arial" w:cs="Arial" w:eastAsia="Arial" w:hAnsi="Arial"/>
          <w:sz w:val="17"/>
          <w:szCs w:val="17"/>
          <w:b w:val="1"/>
          <w:bCs w:val="1"/>
          <w:color w:val="auto"/>
        </w:rPr>
        <w:t>redemptions</w:t>
      </w:r>
      <w:r>
        <w:rPr>
          <w:sz w:val="20"/>
          <w:szCs w:val="20"/>
          <w:color w:val="auto"/>
        </w:rPr>
        <w:tab/>
      </w: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(i) in connection with a general meeting called to approve the business combination or</w:t>
      </w:r>
    </w:p>
    <w:p>
      <w:pPr>
        <w:spacing w:after="0" w:line="1" w:lineRule="exact"/>
        <w:rPr>
          <w:sz w:val="20"/>
          <w:szCs w:val="20"/>
          <w:color w:val="auto"/>
        </w:rPr>
      </w:pPr>
    </w:p>
    <w:p>
      <w:pPr>
        <w:ind w:left="4300" w:right="559" w:firstLine="2"/>
        <w:spacing w:after="0" w:line="269" w:lineRule="auto"/>
        <w:tabs>
          <w:tab w:leader="none" w:pos="45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Asset acquisitions and share purchases would</w:t>
      </w:r>
    </w:p>
    <w:p>
      <w:pPr>
        <w:sectPr>
          <w:pgSz w:w="11900" w:h="16838" w:orient="portrait"/>
          <w:cols w:equalWidth="0" w:num="1">
            <w:col w:w="9879"/>
          </w:cols>
          <w:pgMar w:left="580" w:top="131" w:right="1440" w:bottom="1440" w:gutter="0" w:footer="0" w:header="0"/>
          <w:type w:val="continuous"/>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not typically require stockholder approval, while direct mergers with our company where we do not survive and any transactions where we issue more than 20% of our issued and outstanding common stock or seek to amend our amended and restated certificate of incorporation would require stockholder approval. We currently intend to conduct redemptions in connection with a stockholder vote unless stockholder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such rules.</w:t>
      </w:r>
    </w:p>
    <w:p>
      <w:pPr>
        <w:spacing w:after="0" w:line="119" w:lineRule="exact"/>
        <w:rPr>
          <w:sz w:val="20"/>
          <w:szCs w:val="20"/>
          <w:color w:val="auto"/>
        </w:rPr>
      </w:pPr>
    </w:p>
    <w:p>
      <w:pPr>
        <w:ind w:left="4300" w:right="399"/>
        <w:spacing w:after="0" w:line="248"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w:t>
      </w:r>
    </w:p>
    <w:p>
      <w:pPr>
        <w:spacing w:after="0" w:line="114" w:lineRule="exact"/>
        <w:rPr>
          <w:sz w:val="20"/>
          <w:szCs w:val="20"/>
          <w:color w:val="auto"/>
        </w:rPr>
      </w:pPr>
    </w:p>
    <w:p>
      <w:pPr>
        <w:ind w:left="5020" w:right="619" w:hanging="358"/>
        <w:spacing w:after="0" w:line="279" w:lineRule="auto"/>
        <w:tabs>
          <w:tab w:leader="none" w:pos="5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90" w:lineRule="exact"/>
        <w:rPr>
          <w:rFonts w:ascii="Arial" w:cs="Arial" w:eastAsia="Arial" w:hAnsi="Arial"/>
          <w:sz w:val="17"/>
          <w:szCs w:val="17"/>
          <w:color w:val="auto"/>
        </w:rPr>
      </w:pPr>
    </w:p>
    <w:p>
      <w:pPr>
        <w:ind w:left="5020" w:hanging="358"/>
        <w:spacing w:after="0"/>
        <w:tabs>
          <w:tab w:leader="none" w:pos="5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4300" w:right="399"/>
        <w:spacing w:after="0" w:line="238" w:lineRule="auto"/>
        <w:rPr>
          <w:sz w:val="20"/>
          <w:szCs w:val="20"/>
          <w:color w:val="auto"/>
        </w:rPr>
      </w:pPr>
      <w:r>
        <w:rPr>
          <w:rFonts w:ascii="Arial" w:cs="Arial" w:eastAsia="Arial" w:hAnsi="Arial"/>
          <w:sz w:val="18"/>
          <w:szCs w:val="18"/>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107" w:lineRule="exact"/>
        <w:rPr>
          <w:sz w:val="20"/>
          <w:szCs w:val="20"/>
          <w:color w:val="auto"/>
        </w:rPr>
      </w:pPr>
    </w:p>
    <w:p>
      <w:pPr>
        <w:ind w:left="4300" w:right="399"/>
        <w:spacing w:after="0" w:line="250" w:lineRule="auto"/>
        <w:rPr>
          <w:sz w:val="20"/>
          <w:szCs w:val="20"/>
          <w:color w:val="auto"/>
        </w:rPr>
      </w:pPr>
      <w:r>
        <w:rPr>
          <w:rFonts w:ascii="Arial" w:cs="Arial" w:eastAsia="Arial" w:hAnsi="Arial"/>
          <w:sz w:val="17"/>
          <w:szCs w:val="17"/>
          <w:color w:val="auto"/>
        </w:rPr>
        <w:t>If we seek stockholder approval, unless otherwise required by applicable law, regulation or stock exchange rules, we will complete our initial business combination only if we obtain the approval of the affirmative vote of a majority of the common stock represented in person or by proxy and entitled to vote thereon and who vote at a general meeting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directors and initial holders have agreed to vote any founder shares they hold and any public shares purchased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the founder shares and private shares, we would need only 5,387,501, or approximately 35.9% (assuming all outstanding shares are voted and the over- allotment option is not exercised) or 506,251, or approximately 3.4% (assuming only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53" w:lineRule="auto"/>
        <w:rPr>
          <w:sz w:val="20"/>
          <w:szCs w:val="20"/>
          <w:color w:val="auto"/>
        </w:rPr>
      </w:pPr>
      <w:r>
        <w:rPr>
          <w:rFonts w:ascii="Arial" w:cs="Arial" w:eastAsia="Arial" w:hAnsi="Arial"/>
          <w:sz w:val="17"/>
          <w:szCs w:val="17"/>
          <w:color w:val="auto"/>
        </w:rPr>
        <w:t>minimum number of shares representing a quorum are voted and the over-allotment option is not exercised), of the 15,000,000 public shares sold in this offering to be voted in favor of an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99" w:lineRule="exact"/>
        <w:rPr>
          <w:sz w:val="20"/>
          <w:szCs w:val="20"/>
          <w:color w:val="auto"/>
        </w:rPr>
      </w:pPr>
    </w:p>
    <w:p>
      <w:pPr>
        <w:ind w:left="4300" w:right="519"/>
        <w:spacing w:after="0" w:line="270"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legal reasons, we will, pursuant to our amended and restated certificate of incorporation:</w:t>
      </w:r>
    </w:p>
    <w:p>
      <w:pPr>
        <w:spacing w:after="0" w:line="96" w:lineRule="exact"/>
        <w:rPr>
          <w:sz w:val="20"/>
          <w:szCs w:val="20"/>
          <w:color w:val="auto"/>
        </w:rPr>
      </w:pPr>
    </w:p>
    <w:p>
      <w:pPr>
        <w:jc w:val="both"/>
        <w:ind w:left="5020" w:right="879" w:hanging="358"/>
        <w:spacing w:after="0" w:line="263" w:lineRule="auto"/>
        <w:tabs>
          <w:tab w:leader="none" w:pos="5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ind w:left="5020" w:right="439" w:hanging="358"/>
        <w:spacing w:after="0" w:line="273" w:lineRule="auto"/>
        <w:tabs>
          <w:tab w:leader="none" w:pos="5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0" w:lineRule="exact"/>
        <w:rPr>
          <w:sz w:val="20"/>
          <w:szCs w:val="20"/>
          <w:color w:val="auto"/>
        </w:rPr>
      </w:pPr>
    </w:p>
    <w:p>
      <w:pPr>
        <w:ind w:left="4300" w:right="399"/>
        <w:spacing w:after="0" w:line="259"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common stock in the open market, in order to comply with Rule 14e-5 under the Exchange Act.</w:t>
      </w:r>
    </w:p>
    <w:p>
      <w:pPr>
        <w:spacing w:after="0" w:line="106" w:lineRule="exact"/>
        <w:rPr>
          <w:sz w:val="20"/>
          <w:szCs w:val="20"/>
          <w:color w:val="auto"/>
        </w:rPr>
      </w:pPr>
    </w:p>
    <w:p>
      <w:pPr>
        <w:ind w:left="4300" w:right="399"/>
        <w:spacing w:after="0" w:line="251"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will only redeem our public shares so long as (after such redemption) our net tangible assets will be at least $ 5,000,001 either immediately prior to or upon consummation of our initial business combination and after payment of underwriters’ fees and commissions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02" w:lineRule="exact"/>
        <w:rPr>
          <w:sz w:val="20"/>
          <w:szCs w:val="20"/>
          <w:color w:val="auto"/>
        </w:rPr>
      </w:pPr>
    </w:p>
    <w:p>
      <w:pPr>
        <w:ind w:left="4300" w:right="419"/>
        <w:spacing w:after="0" w:line="254" w:lineRule="auto"/>
        <w:rPr>
          <w:sz w:val="20"/>
          <w:szCs w:val="20"/>
          <w:color w:val="auto"/>
        </w:rPr>
      </w:pPr>
      <w:r>
        <w:rPr>
          <w:rFonts w:ascii="Arial" w:cs="Arial" w:eastAsia="Arial" w:hAnsi="Arial"/>
          <w:sz w:val="17"/>
          <w:szCs w:val="17"/>
          <w:color w:val="auto"/>
        </w:rPr>
        <w:t>Our amended and restated certificate of incorporation will provide that we will only redeem our public shares so long as (after such redemption) our net tangible assets will be at least $5,000,001 either immediately prior to or upon consummation of our initial business combination and after payment of underwriters’ fees and commissions. Redemptions of our public shares may also be subject to a higher net tangible asset test or cash requirement pursuant to an agreement relating to our initial business combination. For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460" w:right="320" w:hanging="179"/>
        <w:spacing w:after="0" w:line="289" w:lineRule="auto"/>
        <w:rPr>
          <w:sz w:val="20"/>
          <w:szCs w:val="20"/>
          <w:color w:val="auto"/>
        </w:rPr>
      </w:pPr>
      <w:r>
        <w:rPr>
          <w:rFonts w:ascii="Arial" w:cs="Arial" w:eastAsia="Arial" w:hAnsi="Arial"/>
          <w:sz w:val="17"/>
          <w:szCs w:val="17"/>
          <w:b w:val="1"/>
          <w:bCs w:val="1"/>
          <w:color w:val="auto"/>
        </w:rPr>
        <w:t>Tendering share certificates in connection with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6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more than 20% of the shares sold in this offering if we hold stockholder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79"/>
        <w:spacing w:after="0" w:line="268" w:lineRule="auto"/>
        <w:rPr>
          <w:sz w:val="20"/>
          <w:szCs w:val="20"/>
          <w:color w:val="auto"/>
        </w:rPr>
      </w:pPr>
      <w:r>
        <w:rPr>
          <w:rFonts w:ascii="Arial" w:cs="Arial" w:eastAsia="Arial" w:hAnsi="Arial"/>
          <w:sz w:val="17"/>
          <w:szCs w:val="17"/>
          <w:color w:val="auto"/>
        </w:rPr>
        <w:t>example,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common stock submitted for redemption will be returned to the holders thereof.</w:t>
      </w:r>
    </w:p>
    <w:p>
      <w:pPr>
        <w:spacing w:after="0" w:line="200" w:lineRule="exact"/>
        <w:rPr>
          <w:sz w:val="20"/>
          <w:szCs w:val="20"/>
          <w:color w:val="auto"/>
        </w:rPr>
      </w:pPr>
    </w:p>
    <w:p>
      <w:pPr>
        <w:spacing w:after="0" w:line="310" w:lineRule="exact"/>
        <w:rPr>
          <w:sz w:val="20"/>
          <w:szCs w:val="20"/>
          <w:color w:val="auto"/>
        </w:rPr>
      </w:pPr>
    </w:p>
    <w:p>
      <w:pPr>
        <w:ind w:right="439"/>
        <w:spacing w:after="0" w:line="268" w:lineRule="auto"/>
        <w:rPr>
          <w:sz w:val="20"/>
          <w:szCs w:val="20"/>
          <w:color w:val="auto"/>
        </w:rPr>
      </w:pPr>
      <w:r>
        <w:rPr>
          <w:rFonts w:ascii="Arial" w:cs="Arial" w:eastAsia="Arial" w:hAnsi="Arial"/>
          <w:sz w:val="17"/>
          <w:szCs w:val="17"/>
          <w:color w:val="auto"/>
        </w:rPr>
        <w:t>If we hold a stockholder meeting to approve a proposed business combination, we may require our public stockholders seeking to exercise their redemption rights, whether they are record holders or hold their shares in “street name,” to either tender their certificates (if any) to our transfer agent up to two business days prior to the vote on the proposal to approve our initial business combination or to deliver their shares to the transfer agent electronically using The Depository Trust Company’s DWAC (Deposit/Withdrawal At Custodian) System, at the holder’s option, rather than simply voting against the initial business combination. The proxy materials that we will furnish to holders of our public shares in connection with our initial business combination will indicate whether we are requiring public stockholders to satisfy such delivery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We may waive this restriction in our sole discretion. We believe the restriction described above will discourage stockholders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w:t>
      </w:r>
    </w:p>
    <w:p>
      <w:pPr>
        <w:spacing w:after="0" w:line="200" w:lineRule="exact"/>
        <w:rPr>
          <w:sz w:val="20"/>
          <w:szCs w:val="20"/>
          <w:color w:val="auto"/>
        </w:rPr>
      </w:pPr>
    </w:p>
    <w:p>
      <w:pPr>
        <w:sectPr>
          <w:pgSz w:w="11900" w:h="16838" w:orient="portrait"/>
          <w:cols w:equalWidth="0" w:num="2">
            <w:col w:w="3840" w:space="460"/>
            <w:col w:w="5579"/>
          </w:cols>
          <w:pgMar w:left="580" w:top="131" w:right="1440" w:bottom="1440" w:gutter="0" w:footer="0" w:header="0"/>
          <w:type w:val="continuous"/>
        </w:sectPr>
      </w:pP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60" w:right="60" w:hanging="179"/>
        <w:spacing w:after="0" w:line="289"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60" w:hanging="179"/>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59"/>
        <w:spacing w:after="0" w:line="268" w:lineRule="auto"/>
        <w:rPr>
          <w:sz w:val="20"/>
          <w:szCs w:val="20"/>
          <w:color w:val="auto"/>
        </w:rPr>
      </w:pPr>
      <w:r>
        <w:rPr>
          <w:rFonts w:ascii="Arial" w:cs="Arial" w:eastAsia="Arial" w:hAnsi="Arial"/>
          <w:sz w:val="17"/>
          <w:szCs w:val="17"/>
          <w:color w:val="auto"/>
        </w:rPr>
        <w:t>not be restricting our stockholders’ ability to vote all of their shares (including all shares held by those stockholders that hold more than 20% of the shares sold in this offering) for or against our initial business combination. Our sponsor, officers and directors have, pursuant to a letter agreement entered into with us, waived their right to have any founder shares, private shares or public shares held by them redeemed in connection with our initial business combination. Unless any of our other affiliates acquires founder shares through a permitted transfer from an initial stockholder, and thereby becomes subject to the letter agreement, no such affiliate is subject to this waiver. However, to the extent any such affiliate acquires public shares in this offering or thereafter through open market purchases, it would be a public stockholder and subject to the 20% limitation in connection with any such redemption right.</w:t>
      </w:r>
    </w:p>
    <w:p>
      <w:pPr>
        <w:spacing w:after="0" w:line="200" w:lineRule="exact"/>
        <w:rPr>
          <w:sz w:val="20"/>
          <w:szCs w:val="20"/>
          <w:color w:val="auto"/>
        </w:rPr>
      </w:pPr>
    </w:p>
    <w:p>
      <w:pPr>
        <w:spacing w:after="0" w:line="308" w:lineRule="exact"/>
        <w:rPr>
          <w:sz w:val="20"/>
          <w:szCs w:val="20"/>
          <w:color w:val="auto"/>
        </w:rPr>
      </w:pPr>
    </w:p>
    <w:p>
      <w:pPr>
        <w:ind w:right="439"/>
        <w:spacing w:after="0" w:line="267" w:lineRule="auto"/>
        <w:rPr>
          <w:sz w:val="20"/>
          <w:szCs w:val="20"/>
          <w:color w:val="auto"/>
        </w:rPr>
      </w:pPr>
      <w:r>
        <w:rPr>
          <w:rFonts w:ascii="Arial" w:cs="Arial" w:eastAsia="Arial" w:hAnsi="Arial"/>
          <w:sz w:val="17"/>
          <w:szCs w:val="17"/>
          <w:color w:val="auto"/>
        </w:rPr>
        <w:t>On the completion of our initial business combination, all amounts held in the trust account will be released to us, other than funds the trustee will use to pay amounts due to any public stockholders who exercise their redemption rights as described above under “Redemption rights for public stockholders upon completion of our initial business combination.” We will use the remaining funds to pay the underwriters their fees under the Business Combination Marketing Agreement,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311" w:lineRule="exact"/>
        <w:rPr>
          <w:sz w:val="20"/>
          <w:szCs w:val="20"/>
          <w:color w:val="auto"/>
        </w:rPr>
      </w:pPr>
    </w:p>
    <w:p>
      <w:pPr>
        <w:ind w:right="419"/>
        <w:spacing w:after="0" w:line="267" w:lineRule="auto"/>
        <w:rPr>
          <w:sz w:val="20"/>
          <w:szCs w:val="20"/>
          <w:color w:val="auto"/>
        </w:rPr>
      </w:pPr>
      <w:r>
        <w:rPr>
          <w:rFonts w:ascii="Arial" w:cs="Arial" w:eastAsia="Arial" w:hAnsi="Arial"/>
          <w:sz w:val="17"/>
          <w:szCs w:val="17"/>
          <w:color w:val="auto"/>
        </w:rPr>
        <w:t>We will have only 12 months from the closing of this offering to complete our initial business combination (or up to 18 months from the closing of this offering if we extend the period of time to consummate a business combination). If we are unable to complete our initial business combination within such 12-month period (or up to 18 months from the closing of this offering if we extend the period of time to consummate a business combination), we will:</w:t>
      </w:r>
    </w:p>
    <w:p>
      <w:pPr>
        <w:spacing w:after="0" w:line="4" w:lineRule="exact"/>
        <w:rPr>
          <w:sz w:val="20"/>
          <w:szCs w:val="20"/>
          <w:color w:val="auto"/>
        </w:rPr>
      </w:pPr>
    </w:p>
    <w:p>
      <w:pPr>
        <w:ind w:right="419" w:firstLine="2"/>
        <w:spacing w:after="0" w:line="268" w:lineRule="auto"/>
        <w:tabs>
          <w:tab w:leader="none" w:pos="229"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issued and outstanding public shares, which redemption will completely extinguish public stockholders’ rights as stockholders (including the right to receive</w:t>
      </w:r>
    </w:p>
    <w:p>
      <w:pPr>
        <w:spacing w:after="0" w:line="200" w:lineRule="exact"/>
        <w:rPr>
          <w:sz w:val="20"/>
          <w:szCs w:val="20"/>
          <w:color w:val="auto"/>
        </w:rPr>
      </w:pPr>
    </w:p>
    <w:p>
      <w:pPr>
        <w:sectPr>
          <w:pgSz w:w="11900" w:h="16838" w:orient="portrait"/>
          <w:cols w:equalWidth="0" w:num="2">
            <w:col w:w="3860" w:space="440"/>
            <w:col w:w="5579"/>
          </w:cols>
          <w:pgMar w:left="580" w:top="131" w:right="1440" w:bottom="1440" w:gutter="0" w:footer="0" w:header="0"/>
          <w:type w:val="continuous"/>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69" w:lineRule="auto"/>
        <w:rPr>
          <w:sz w:val="20"/>
          <w:szCs w:val="20"/>
          <w:color w:val="auto"/>
        </w:rPr>
      </w:pPr>
      <w:r>
        <w:rPr>
          <w:rFonts w:ascii="Arial" w:cs="Arial" w:eastAsia="Arial" w:hAnsi="Arial"/>
          <w:sz w:val="17"/>
          <w:szCs w:val="17"/>
          <w:color w:val="auto"/>
        </w:rPr>
        <w:t>further liquidation distributions, if any), subject to applicable law,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rights, which will expire worthless if we fail to complete our initial business combination within the 12-month time period (or up to 18 months from the closing of this offering if we extend the period of time to consummate a business combination).</w:t>
      </w:r>
    </w:p>
    <w:p>
      <w:pPr>
        <w:spacing w:after="0" w:line="101" w:lineRule="exact"/>
        <w:rPr>
          <w:sz w:val="20"/>
          <w:szCs w:val="20"/>
          <w:color w:val="auto"/>
        </w:rPr>
      </w:pPr>
    </w:p>
    <w:p>
      <w:pPr>
        <w:ind w:left="4300" w:right="439"/>
        <w:spacing w:after="0" w:line="23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their founder shares and private shares if we fail to complete our initial business combination within 12 months from the closing of this offering (or up to 18 months from the closing of this offering if we extend the period of time to consummate a business combination) . However, if our sponsor, officers or directors acquire public shares after this offering, they will be entitled to liquidating distributions from the trust account with respect to such public shares if we fail to complete our initial business combination within the allotted 12 -month time frame (or up to 18 months from the closing of this offering if we extend the period of time to consummate a business combination).</w:t>
      </w:r>
    </w:p>
    <w:p>
      <w:pPr>
        <w:spacing w:after="0" w:line="122" w:lineRule="exact"/>
        <w:rPr>
          <w:sz w:val="20"/>
          <w:szCs w:val="20"/>
          <w:color w:val="auto"/>
        </w:rPr>
      </w:pPr>
    </w:p>
    <w:p>
      <w:pPr>
        <w:ind w:left="4300" w:right="399"/>
        <w:spacing w:after="0" w:line="25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that would (i) modify the substance or timing of our obligation to allow redemption in connection with our initial business combination or to redeem 100% of our public shares if we do not complete our initial business combination within 12 months from the closing of this offering (or up to 18 months from the closing of this offering if we extend the period of time to consummate a business combination) or (ii) with respect to the other provisions relating to stockholders’ rights or pre-business combination activity, unless we provide our public stockholders with the opportunity to redeem their common stock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will only redeem our public shares so long as (after such redemption) our net tangible assets will be at least $ 5,000,001 either immediately prior to or upon consummation of our initial business combination and after payment of underwriters’ fees and commissions.</w:t>
      </w:r>
    </w:p>
    <w:p>
      <w:pPr>
        <w:spacing w:after="0" w:line="81" w:lineRule="exact"/>
        <w:rPr>
          <w:sz w:val="20"/>
          <w:szCs w:val="20"/>
          <w:color w:val="auto"/>
        </w:rPr>
      </w:pPr>
    </w:p>
    <w:p>
      <w:pPr>
        <w:ind w:left="4300" w:right="399" w:hanging="3019"/>
        <w:spacing w:after="0" w:line="269" w:lineRule="auto"/>
        <w:tabs>
          <w:tab w:leader="none" w:pos="4280" w:val="left"/>
        </w:tabs>
        <w:rPr>
          <w:sz w:val="20"/>
          <w:szCs w:val="20"/>
          <w:color w:val="auto"/>
        </w:rPr>
      </w:pPr>
      <w:r>
        <w:rPr>
          <w:rFonts w:ascii="Arial" w:cs="Arial" w:eastAsia="Arial" w:hAnsi="Arial"/>
          <w:sz w:val="17"/>
          <w:szCs w:val="17"/>
          <w:b w:val="1"/>
          <w:bCs w:val="1"/>
          <w:color w:val="auto"/>
        </w:rPr>
        <w:t>Indemnity</w:t>
      </w:r>
      <w:r>
        <w:rPr>
          <w:sz w:val="20"/>
          <w:szCs w:val="20"/>
          <w:color w:val="auto"/>
        </w:rPr>
        <w:tab/>
      </w:r>
      <w:r>
        <w:rPr>
          <w:rFonts w:ascii="Arial" w:cs="Arial" w:eastAsia="Arial" w:hAnsi="Arial"/>
          <w:sz w:val="17"/>
          <w:szCs w:val="17"/>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w:t>
      </w:r>
    </w:p>
    <w:p>
      <w:pPr>
        <w:spacing w:after="0" w:line="3" w:lineRule="exact"/>
        <w:rPr>
          <w:sz w:val="20"/>
          <w:szCs w:val="20"/>
          <w:color w:val="auto"/>
        </w:rPr>
      </w:pPr>
    </w:p>
    <w:p>
      <w:pPr>
        <w:ind w:left="4300" w:right="419" w:firstLine="2"/>
        <w:spacing w:after="0" w:line="255" w:lineRule="auto"/>
        <w:tabs>
          <w:tab w:leader="none" w:pos="45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$10.10 per public share or (ii) such lesser amount per public share held in the trust account as of the date of the liquidation of the trust account due to reductions in the value of</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67" w:lineRule="auto"/>
        <w:rPr>
          <w:sz w:val="20"/>
          <w:szCs w:val="20"/>
          <w:color w:val="auto"/>
        </w:rPr>
      </w:pPr>
      <w:r>
        <w:rPr>
          <w:rFonts w:ascii="Arial" w:cs="Arial" w:eastAsia="Arial" w:hAnsi="Arial"/>
          <w:sz w:val="17"/>
          <w:szCs w:val="17"/>
          <w:color w:val="auto"/>
        </w:rPr>
        <w:t>the trust assets, in each case net of the interest which may be withdrawn to pay taxes. This liability will not apply with respect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 party claims. Because we are a blank check company, rather than an operating company, and our operations will be limited to searching for prospective target businesses to acquire, the only third parties we currently expect to engage would be vendors such as lawyers, investment bankers, accountants, computer or information and technical services providers or prospective target businesses. We have not independently verified whether our sponsor has sufficient funds to satisfy their indemnity obligations and believe that our sponsor’s only assets are securities of our company. We have not asked our sponsor to reserve for such obligations. We therefore believe it is unlikely our sponsor would be able to satisfy any indemnification obligations that may arise.</w:t>
      </w:r>
    </w:p>
    <w:p>
      <w:pPr>
        <w:spacing w:after="0" w:line="7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7"/>
          <w:szCs w:val="17"/>
          <w:color w:val="auto"/>
        </w:rPr>
        <w:t>Each of our directors and officers will directly or indirectly own</w:t>
      </w:r>
    </w:p>
    <w:p>
      <w:pPr>
        <w:spacing w:after="0" w:line="27" w:lineRule="exact"/>
        <w:rPr>
          <w:sz w:val="20"/>
          <w:szCs w:val="20"/>
          <w:color w:val="auto"/>
        </w:rPr>
      </w:pPr>
    </w:p>
    <w:p>
      <w:pPr>
        <w:ind w:left="4300" w:right="479"/>
        <w:spacing w:after="0" w:line="268" w:lineRule="auto"/>
        <w:rPr>
          <w:sz w:val="20"/>
          <w:szCs w:val="20"/>
          <w:color w:val="auto"/>
        </w:rPr>
      </w:pPr>
      <w:r>
        <w:rPr>
          <w:rFonts w:ascii="Arial" w:cs="Arial" w:eastAsia="Arial" w:hAnsi="Arial"/>
          <w:sz w:val="17"/>
          <w:szCs w:val="17"/>
          <w:color w:val="auto"/>
        </w:rPr>
        <w:t>founder shares and/or placement units following this offering and, accordingly, may have a conflict of interest in determining whether a particular target business is an appropriate business with which to effectuate our initial business combination. Further, such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0" w:lineRule="exact"/>
        <w:rPr>
          <w:sz w:val="20"/>
          <w:szCs w:val="20"/>
          <w:color w:val="auto"/>
        </w:rPr>
      </w:pPr>
    </w:p>
    <w:p>
      <w:pPr>
        <w:ind w:left="4300" w:right="399"/>
        <w:spacing w:after="0" w:line="267" w:lineRule="auto"/>
        <w:rPr>
          <w:sz w:val="20"/>
          <w:szCs w:val="20"/>
          <w:color w:val="auto"/>
        </w:rPr>
      </w:pPr>
      <w:r>
        <w:rPr>
          <w:rFonts w:ascii="Arial" w:cs="Arial" w:eastAsia="Arial" w:hAnsi="Arial"/>
          <w:sz w:val="17"/>
          <w:szCs w:val="17"/>
          <w:color w:val="auto"/>
        </w:rPr>
        <w:t>Our officers and directors presently have, and any of them in the future may have additional, fiduciary or contractual obligations to other entities, including, Americas Technology Acquisition Corp. (NYSE: ATA.U), a special purpose acquisition company (“SPAC”) that consummated its initial public offering in December 2020 and is currently in the process of searching for a business combination target, Pursuant to such fiduciary duties, such officer or director is or will be required to present a business combination opportunity to such other entities subject to his or her fiduciary duties. Subject to his or her fiduciary duties under Delaware law, none of the members of our management team who are also employed by our sponsor or its affiliates have any obligation to present us with any opportunity for a potential business combination of which they become aware.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subject to his or her fiduciary duties under Delaware law and any other applicable fiduciary duties, and only present it to us if such entity rejects the opportunity. Our amended and restated certificate of incorporation will provide that we renounce our interest in 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539"/>
        <w:spacing w:after="0" w:line="255" w:lineRule="auto"/>
        <w:rPr>
          <w:sz w:val="20"/>
          <w:szCs w:val="20"/>
          <w:color w:val="auto"/>
        </w:rPr>
      </w:pPr>
      <w:r>
        <w:rPr>
          <w:rFonts w:ascii="Arial" w:cs="Arial" w:eastAsia="Arial" w:hAnsi="Arial"/>
          <w:sz w:val="18"/>
          <w:szCs w:val="18"/>
          <w:color w:val="auto"/>
        </w:rPr>
        <w:t>corporate opportunity offered to any director or officer unless such opportunity is expressly offered to such person solely in his or her capacity as a director or officer of the company and it is an opportunity that we are able to compete on a reasonable basis. For more information, see the section entitled “Management — Conflicts of Interest.”</w:t>
      </w:r>
    </w:p>
    <w:p>
      <w:pPr>
        <w:spacing w:after="0" w:line="111" w:lineRule="exact"/>
        <w:rPr>
          <w:sz w:val="20"/>
          <w:szCs w:val="20"/>
          <w:color w:val="auto"/>
        </w:rPr>
      </w:pPr>
    </w:p>
    <w:p>
      <w:pPr>
        <w:ind w:left="4300" w:right="399"/>
        <w:spacing w:after="0" w:line="268" w:lineRule="auto"/>
        <w:rPr>
          <w:sz w:val="20"/>
          <w:szCs w:val="20"/>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 The amount of any such fee we pay will be based upon the prevailing market for similar services for comparable transactions at such time, and will be subject to the review of our audit committee pursuant to the audit committee’s policies and procedures relating to transactions that may present conflicts of interest. We would disclose any such fee in the proxy or tender offer materials used in connection with a proposed business combination.</w:t>
      </w:r>
    </w:p>
    <w:p>
      <w:pPr>
        <w:spacing w:after="0" w:line="17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1280" w:right="39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w:t>
      </w:r>
      <w:hyperlink w:anchor="page34">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w:t>
      </w:r>
    </w:p>
    <w:p>
      <w:pPr>
        <w:spacing w:after="0" w:line="127"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 brief summary of some of the risk factors that make an investment in us speculative or risky include:</w:t>
      </w:r>
    </w:p>
    <w:p>
      <w:pPr>
        <w:spacing w:after="0" w:line="129" w:lineRule="exact"/>
        <w:rPr>
          <w:sz w:val="20"/>
          <w:szCs w:val="20"/>
          <w:color w:val="auto"/>
        </w:rPr>
      </w:pPr>
    </w:p>
    <w:p>
      <w:pPr>
        <w:ind w:left="1820" w:right="45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newly formed early stage company with no operating history and, accordingly, you have no basis on which to evaluate our ability to achieve our business objective.</w:t>
      </w:r>
    </w:p>
    <w:p>
      <w:pPr>
        <w:spacing w:after="0" w:line="62" w:lineRule="exact"/>
        <w:rPr>
          <w:rFonts w:ascii="Arial" w:cs="Arial" w:eastAsia="Arial" w:hAnsi="Arial"/>
          <w:sz w:val="18"/>
          <w:szCs w:val="18"/>
          <w:color w:val="auto"/>
        </w:rPr>
      </w:pPr>
    </w:p>
    <w:p>
      <w:pPr>
        <w:ind w:left="1820" w:right="51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search for a business combination, and any target business with which we ultimately consummate a business combination, may be materially adversely affected by the recent COVID-19 coronavirus pandemic and the status of debt and equity markets.</w:t>
      </w:r>
    </w:p>
    <w:p>
      <w:pPr>
        <w:spacing w:after="0" w:line="75" w:lineRule="exact"/>
        <w:rPr>
          <w:rFonts w:ascii="Arial" w:cs="Arial" w:eastAsia="Arial" w:hAnsi="Arial"/>
          <w:sz w:val="18"/>
          <w:szCs w:val="18"/>
          <w:color w:val="auto"/>
        </w:rPr>
      </w:pPr>
    </w:p>
    <w:p>
      <w:pPr>
        <w:ind w:left="1820" w:right="83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75" w:lineRule="exact"/>
        <w:rPr>
          <w:rFonts w:ascii="Arial" w:cs="Arial" w:eastAsia="Arial" w:hAnsi="Arial"/>
          <w:sz w:val="18"/>
          <w:szCs w:val="18"/>
          <w:color w:val="auto"/>
        </w:rPr>
      </w:pPr>
    </w:p>
    <w:p>
      <w:pPr>
        <w:ind w:left="1820" w:right="599" w:hanging="182"/>
        <w:spacing w:after="0" w:line="308"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Your only opportunity to affect the investment decision regarding a potential business combination may be limited to the exercise of your right to redeem your shares from us for cash.</w:t>
      </w:r>
    </w:p>
    <w:p>
      <w:pPr>
        <w:spacing w:after="0" w:line="38" w:lineRule="exact"/>
        <w:rPr>
          <w:rFonts w:ascii="Arial" w:cs="Arial" w:eastAsia="Arial" w:hAnsi="Arial"/>
          <w:sz w:val="17"/>
          <w:szCs w:val="17"/>
          <w:color w:val="auto"/>
        </w:rPr>
      </w:pPr>
    </w:p>
    <w:p>
      <w:pPr>
        <w:ind w:left="1820" w:right="1039" w:hanging="182"/>
        <w:spacing w:after="0" w:line="308"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our public stockholders to exercise their redemption rights may not allow us to effectuate the most desirable business combination or optimize our capital structure.</w:t>
      </w:r>
    </w:p>
    <w:p>
      <w:pPr>
        <w:spacing w:after="0" w:line="38" w:lineRule="exact"/>
        <w:rPr>
          <w:rFonts w:ascii="Arial" w:cs="Arial" w:eastAsia="Arial" w:hAnsi="Arial"/>
          <w:sz w:val="17"/>
          <w:szCs w:val="17"/>
          <w:color w:val="auto"/>
        </w:rPr>
      </w:pPr>
    </w:p>
    <w:p>
      <w:pPr>
        <w:ind w:left="1820" w:right="399" w:hanging="182"/>
        <w:spacing w:after="0" w:line="259"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within 12 months from the closing of this offering (or up to 18 months from the closing of this offering if we extend the period of time to consummate a business combination) may give potential target businesses leverage over us in negotiating our initial business combination.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79" w:hanging="182"/>
        <w:spacing w:after="0" w:line="259"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directors, officers, advisors and their affiliates may elect to purchase shares or rights from public stockholders, which may influence a vote on a proposed initial business combination and reduce the public “float” of our common stock.</w:t>
      </w:r>
    </w:p>
    <w:p>
      <w:pPr>
        <w:spacing w:after="0" w:line="78" w:lineRule="exact"/>
        <w:rPr>
          <w:rFonts w:ascii="Arial" w:cs="Arial" w:eastAsia="Arial" w:hAnsi="Arial"/>
          <w:sz w:val="18"/>
          <w:szCs w:val="18"/>
          <w:color w:val="auto"/>
        </w:rPr>
      </w:pPr>
    </w:p>
    <w:p>
      <w:pPr>
        <w:ind w:left="1820" w:right="1339" w:hanging="182"/>
        <w:spacing w:after="0" w:line="277"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stockholders may be held liable for claims by third parties against us to the extent of distributions received by them.</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blank check companies.</w:t>
      </w:r>
    </w:p>
    <w:p>
      <w:pPr>
        <w:spacing w:after="0" w:line="117" w:lineRule="exact"/>
        <w:rPr>
          <w:rFonts w:ascii="Arial" w:cs="Arial" w:eastAsia="Arial" w:hAnsi="Arial"/>
          <w:sz w:val="18"/>
          <w:szCs w:val="18"/>
          <w:color w:val="auto"/>
        </w:rPr>
      </w:pPr>
    </w:p>
    <w:p>
      <w:pPr>
        <w:ind w:left="1820" w:right="659" w:hanging="182"/>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stockholders, together with any affiliates of theirs or any other person with whom they are acting in concert or as a “group,” will be restricted from seeking redemption rights with respect to more than 20% of the shares of common stock sold in this offering.</w:t>
      </w:r>
    </w:p>
    <w:p>
      <w:pPr>
        <w:spacing w:after="0" w:line="75" w:lineRule="exact"/>
        <w:rPr>
          <w:rFonts w:ascii="Arial" w:cs="Arial" w:eastAsia="Arial" w:hAnsi="Arial"/>
          <w:sz w:val="18"/>
          <w:szCs w:val="18"/>
          <w:color w:val="auto"/>
        </w:rPr>
      </w:pPr>
    </w:p>
    <w:p>
      <w:pPr>
        <w:ind w:left="1820" w:right="459" w:hanging="182"/>
        <w:spacing w:after="0" w:line="286" w:lineRule="auto"/>
        <w:tabs>
          <w:tab w:leader="none" w:pos="1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57" w:lineRule="exact"/>
        <w:rPr>
          <w:rFonts w:ascii="Arial" w:cs="Arial" w:eastAsia="Arial" w:hAnsi="Arial"/>
          <w:sz w:val="17"/>
          <w:szCs w:val="17"/>
          <w:color w:val="auto"/>
        </w:rPr>
      </w:pPr>
    </w:p>
    <w:p>
      <w:pPr>
        <w:ind w:left="1820" w:right="1319" w:hanging="182"/>
        <w:spacing w:after="0" w:line="277"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executive officers, directors, security holders and their respective affiliates may have competitive pecuniary interests that conflict with our interests.</w:t>
      </w:r>
    </w:p>
    <w:p>
      <w:pPr>
        <w:spacing w:after="0" w:line="62"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75" w:lineRule="exact"/>
        <w:rPr>
          <w:rFonts w:ascii="Arial" w:cs="Arial" w:eastAsia="Arial" w:hAnsi="Arial"/>
          <w:sz w:val="18"/>
          <w:szCs w:val="18"/>
          <w:color w:val="auto"/>
        </w:rPr>
      </w:pPr>
    </w:p>
    <w:p>
      <w:pPr>
        <w:ind w:left="1820" w:right="739" w:hanging="182"/>
        <w:spacing w:after="0" w:line="308" w:lineRule="auto"/>
        <w:tabs>
          <w:tab w:leader="none" w:pos="1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NYSE may delist our securities from quotation on its exchange, which could limit investors’ ability to make transactions in our securities and subject us to additional trading restrictions.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1280" w:right="39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w w:val="89"/>
              </w:rPr>
              <w:t>October 13, 2021</w:t>
            </w:r>
          </w:p>
        </w:tc>
      </w:tr>
      <w:tr>
        <w:trPr>
          <w:trHeight w:val="26"/>
        </w:trPr>
        <w:tc>
          <w:tcPr>
            <w:tcW w:w="6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23"/>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Actual</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As Adjusted</w:t>
            </w:r>
            <w:r>
              <w:rPr>
                <w:rFonts w:ascii="Arial" w:cs="Arial" w:eastAsia="Arial" w:hAnsi="Arial"/>
                <w:sz w:val="17"/>
                <w:szCs w:val="17"/>
                <w:b w:val="1"/>
                <w:bCs w:val="1"/>
                <w:color w:val="auto"/>
                <w:w w:val="96"/>
                <w:vertAlign w:val="superscript"/>
              </w:rPr>
              <w:t>(1)</w:t>
            </w:r>
          </w:p>
        </w:tc>
      </w:tr>
      <w:tr>
        <w:trPr>
          <w:trHeight w:val="25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(33,485)</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152,524,915</w:t>
            </w: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58,415</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152,524,915</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33,500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151,500,000</w:t>
            </w: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24,915</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1,024,915</w:t>
            </w:r>
          </w:p>
        </w:tc>
      </w:tr>
    </w:tbl>
    <w:p>
      <w:pPr>
        <w:spacing w:after="0" w:line="377" w:lineRule="exact"/>
        <w:rPr>
          <w:sz w:val="20"/>
          <w:szCs w:val="20"/>
          <w:color w:val="auto"/>
        </w:rPr>
      </w:pPr>
    </w:p>
    <w:p>
      <w:pPr>
        <w:ind w:left="1640" w:hanging="362"/>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$6,250,000 we will receive from the sale of the private units.</w:t>
      </w:r>
    </w:p>
    <w:p>
      <w:pPr>
        <w:spacing w:after="0" w:line="76" w:lineRule="exact"/>
        <w:rPr>
          <w:rFonts w:ascii="Arial" w:cs="Arial" w:eastAsia="Arial" w:hAnsi="Arial"/>
          <w:sz w:val="18"/>
          <w:szCs w:val="18"/>
          <w:color w:val="auto"/>
        </w:rPr>
      </w:pPr>
    </w:p>
    <w:p>
      <w:pPr>
        <w:ind w:left="1640" w:right="459" w:hanging="362"/>
        <w:spacing w:after="0" w:line="259" w:lineRule="auto"/>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 adjusted” value of common stock which may be subject to possible redemption/tender for cash is derived by taking shares of common stock which may be redeemed, representing the maximum number of shares that may be redeemed or sold after this offering, multiplied by a redemption price of $10.10.</w:t>
      </w:r>
    </w:p>
    <w:p>
      <w:pPr>
        <w:spacing w:after="0" w:line="119" w:lineRule="exact"/>
        <w:rPr>
          <w:sz w:val="20"/>
          <w:szCs w:val="20"/>
          <w:color w:val="auto"/>
        </w:rPr>
      </w:pPr>
    </w:p>
    <w:p>
      <w:pPr>
        <w:ind w:left="1280" w:right="539" w:firstLine="360"/>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98" w:lineRule="exact"/>
        <w:rPr>
          <w:sz w:val="20"/>
          <w:szCs w:val="20"/>
          <w:color w:val="auto"/>
        </w:rPr>
      </w:pPr>
    </w:p>
    <w:p>
      <w:pPr>
        <w:ind w:left="1280" w:right="479" w:firstLine="360"/>
        <w:spacing w:after="0" w:line="255" w:lineRule="auto"/>
        <w:rPr>
          <w:sz w:val="20"/>
          <w:szCs w:val="20"/>
          <w:color w:val="auto"/>
        </w:rPr>
      </w:pPr>
      <w:r>
        <w:rPr>
          <w:rFonts w:ascii="Arial" w:cs="Arial" w:eastAsia="Arial" w:hAnsi="Arial"/>
          <w:sz w:val="18"/>
          <w:szCs w:val="18"/>
          <w:color w:val="auto"/>
        </w:rPr>
        <w:t>The “as adjusted” total assets amount includes the $151,500,000 to be held in the trust account (which would be $174,225,000 if the underwriters’ over-allotment option is exercised in full), plus $1,000,000 in cash held outside the trust account, to cover working capital. If our initial business combination is not consummated, the trust account, less amounts we are permitted to withdraw as described in this prospectus, will be distributed solely to our public stockholders (subject to our obligations under Delaware law to provide for claims of creditors)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RISKS RELATING TO OUR BUSINESS AND</w:t>
      </w:r>
    </w:p>
    <w:p>
      <w:pPr>
        <w:spacing w:after="0" w:line="1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OUR SEARCH FOR, AND CONSUMMATION OF OR INABILITY TO CONSUMMATE, A BUSINESS</w:t>
      </w:r>
    </w:p>
    <w:p>
      <w:pPr>
        <w:jc w:val="center"/>
        <w:ind w:right="-860"/>
        <w:spacing w:after="0"/>
        <w:rPr>
          <w:sz w:val="20"/>
          <w:szCs w:val="20"/>
          <w:color w:val="auto"/>
        </w:rPr>
      </w:pPr>
      <w:r>
        <w:rPr>
          <w:rFonts w:ascii="Arial" w:cs="Arial" w:eastAsia="Arial" w:hAnsi="Arial"/>
          <w:sz w:val="18"/>
          <w:szCs w:val="18"/>
          <w:b w:val="1"/>
          <w:bCs w:val="1"/>
          <w:color w:val="auto"/>
        </w:rPr>
        <w:t>COMBINATION</w:t>
      </w:r>
    </w:p>
    <w:p>
      <w:pPr>
        <w:spacing w:after="0" w:line="196"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0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80" w:lineRule="exact"/>
        <w:rPr>
          <w:sz w:val="20"/>
          <w:szCs w:val="20"/>
          <w:color w:val="auto"/>
        </w:rPr>
      </w:pPr>
    </w:p>
    <w:p>
      <w:pPr>
        <w:ind w:left="1260" w:right="459"/>
        <w:spacing w:after="0" w:line="284"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$10.10 per share, or less than such amount in certain circumstances, and our rights will expire worthless.</w:t>
      </w:r>
    </w:p>
    <w:p>
      <w:pPr>
        <w:spacing w:after="0" w:line="8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Our amended and restated certificate of incorporation provides that we must complete our initial business combination within 12 months from the closing of this offering (or up to 18 months from the closing of this offering if we extend the period of time to consummate a business combination). We may not be able to find a suitable target business and complete our initial business combination within such time period. Furthermore, our ability to complete our initial business combination may be negatively impacted by general market conditions, volatility in the capital and debt markets and the other risks described herein. For example, the outbreak of COVID-19 is yet to be fully contained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$10.10 per share, and our rights will expire worthless. In certain circumstances, our public stockholders may receive less than $10.10 per share on the redemption of their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92" w:lineRule="exact"/>
        <w:rPr>
          <w:sz w:val="20"/>
          <w:szCs w:val="20"/>
          <w:color w:val="auto"/>
        </w:rPr>
      </w:pPr>
    </w:p>
    <w:p>
      <w:pPr>
        <w:jc w:val="both"/>
        <w:ind w:left="1260" w:right="499" w:firstLine="360"/>
        <w:spacing w:after="0" w:line="294"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redeem their shares, regardless of whether they vote for or against the proposed business combination, into their pro rata share of the aggregate amount then</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200" w:lineRule="exact"/>
        <w:rPr>
          <w:sz w:val="20"/>
          <w:szCs w:val="20"/>
          <w:color w:val="auto"/>
        </w:rPr>
      </w:pPr>
    </w:p>
    <w:p>
      <w:pPr>
        <w:jc w:val="right"/>
        <w:ind w:left="1260" w:right="1879"/>
        <w:spacing w:after="0" w:line="396" w:lineRule="auto"/>
        <w:rPr>
          <w:sz w:val="20"/>
          <w:szCs w:val="20"/>
          <w:color w:val="auto"/>
        </w:rPr>
      </w:pPr>
      <w:r>
        <w:rPr>
          <w:rFonts w:ascii="Arial" w:cs="Arial" w:eastAsia="Arial" w:hAnsi="Arial"/>
          <w:sz w:val="15"/>
          <w:szCs w:val="15"/>
          <w:b w:val="1"/>
          <w:bCs w:val="1"/>
          <w:i w:val="1"/>
          <w:iCs w:val="1"/>
          <w:color w:val="auto"/>
        </w:rPr>
        <w:t xml:space="preserve">You will not be entitled to protections normally afforded to investors of blank check companies. </w:t>
      </w:r>
      <w:r>
        <w:rPr>
          <w:rFonts w:ascii="Arial" w:cs="Arial" w:eastAsia="Arial" w:hAnsi="Arial"/>
          <w:sz w:val="15"/>
          <w:szCs w:val="15"/>
          <w:color w:val="auto"/>
        </w:rPr>
        <w:t>Since the net proceeds of this offering are intended to be used to complete our initial</w:t>
      </w:r>
    </w:p>
    <w:p>
      <w:pPr>
        <w:ind w:left="1260" w:right="479"/>
        <w:spacing w:after="0" w:line="236" w:lineRule="auto"/>
        <w:rPr>
          <w:sz w:val="20"/>
          <w:szCs w:val="20"/>
          <w:color w:val="auto"/>
        </w:rPr>
      </w:pPr>
      <w:r>
        <w:rPr>
          <w:rFonts w:ascii="Arial" w:cs="Arial" w:eastAsia="Arial" w:hAnsi="Arial"/>
          <w:sz w:val="18"/>
          <w:szCs w:val="18"/>
          <w:color w:val="auto"/>
        </w:rPr>
        <w:t>business combination with a target business that has not been identified, we may be deemed to be a “blank check” company under the United States securities laws. However, since our securities will be listed on a national securities exchange,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89" w:lineRule="exact"/>
        <w:rPr>
          <w:sz w:val="20"/>
          <w:szCs w:val="20"/>
          <w:color w:val="auto"/>
        </w:rPr>
      </w:pPr>
    </w:p>
    <w:p>
      <w:pPr>
        <w:ind w:left="1260" w:right="479"/>
        <w:spacing w:after="0" w:line="36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3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combination.As a result, in addition to the founder shares and private shares, we would need only 5,387,501, or approximately 35.9% (assuming all outstanding shares are voted and the over-allotment option is not exercised) or 506,251, or approximately 3.4% (assuming only the minimum number of shares representing a quorum are voted and the over-allotment option is not exercised), of the 15,000,000 public shares sold in this offering to be voted in favor of an initial business combination. Our initial stockholders and their permitted transferees will own shares representing 20% of our outstanding shares of common stock immediately following the completion of this offering (not including the private units and underlying securities and the representative founder shares and assuming they do not purchase units in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7" w:lineRule="exact"/>
        <w:rPr>
          <w:sz w:val="20"/>
          <w:szCs w:val="20"/>
          <w:color w:val="auto"/>
        </w:rPr>
      </w:pPr>
    </w:p>
    <w:p>
      <w:pPr>
        <w:ind w:left="1260" w:right="599"/>
        <w:spacing w:after="0" w:line="362" w:lineRule="auto"/>
        <w:rPr>
          <w:sz w:val="20"/>
          <w:szCs w:val="20"/>
          <w:color w:val="auto"/>
        </w:rPr>
      </w:pPr>
      <w:r>
        <w:rPr>
          <w:rFonts w:ascii="Arial" w:cs="Arial" w:eastAsia="Arial" w:hAnsi="Arial"/>
          <w:sz w:val="15"/>
          <w:szCs w:val="15"/>
          <w:b w:val="1"/>
          <w:bCs w:val="1"/>
          <w:i w:val="1"/>
          <w:iCs w:val="1"/>
          <w:color w:val="auto"/>
        </w:rPr>
        <w:t>Our search for a business combination, and any target business with which we ultimately consummate a business combination, may be materially adversely affected by the recent coronavirus (COVID-19) pandemic.</w:t>
      </w:r>
    </w:p>
    <w:p>
      <w:pPr>
        <w:spacing w:after="0" w:line="33"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providers are unavailable to negotiate and consummate a transaction in a timely manner. The extent of which COVID-19 impacts our search for a business combination will depend on future developments, which are highly uncertain and cannot be predicted, including new information that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0"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01"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05"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2" w:lineRule="exact"/>
        <w:rPr>
          <w:sz w:val="20"/>
          <w:szCs w:val="20"/>
          <w:color w:val="auto"/>
        </w:rPr>
      </w:pPr>
    </w:p>
    <w:p>
      <w:pPr>
        <w:ind w:left="1260" w:right="739"/>
        <w:spacing w:after="0" w:line="444"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ind w:left="1260" w:right="459" w:firstLine="360"/>
        <w:spacing w:after="0" w:line="25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86"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83" w:lineRule="exact"/>
        <w:rPr>
          <w:sz w:val="20"/>
          <w:szCs w:val="20"/>
          <w:color w:val="auto"/>
        </w:rPr>
      </w:pPr>
    </w:p>
    <w:p>
      <w:pPr>
        <w:ind w:left="1260" w:right="1019" w:firstLine="360"/>
        <w:spacing w:after="0" w:line="258"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w:t>
      </w:r>
    </w:p>
    <w:p>
      <w:pPr>
        <w:spacing w:after="0" w:line="1"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93" w:lineRule="exact"/>
        <w:rPr>
          <w:sz w:val="20"/>
          <w:szCs w:val="20"/>
          <w:color w:val="auto"/>
        </w:rPr>
      </w:pPr>
    </w:p>
    <w:p>
      <w:pPr>
        <w:ind w:left="1260" w:right="839"/>
        <w:spacing w:after="0" w:line="324"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57"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Our amended and restated certificate of incorporation will authorize the issuance of up to 100,000,000 shares of common stock, par value $0.0001 per share. Immediately after this offering and the purchase of the private units (assuming no exercise of the underwriters’ over-allotment option), there will be approximately 78,912,500 authorized but unissued shares of common stock available for issuance (after appropriate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reservation for the issuance of the shares underlying the private units and public and private units). Although we have no commitment as of the date of this offering, we may issue a substantial number of additional shares of common stock to complete our initial business combination. The issuance of additional shares of common stock:</w:t>
      </w:r>
    </w:p>
    <w:p>
      <w:pPr>
        <w:spacing w:after="0" w:line="80"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62" w:lineRule="exact"/>
        <w:rPr>
          <w:rFonts w:ascii="Arial" w:cs="Arial" w:eastAsia="Arial" w:hAnsi="Arial"/>
          <w:sz w:val="18"/>
          <w:szCs w:val="18"/>
          <w:color w:val="auto"/>
        </w:rPr>
      </w:pPr>
    </w:p>
    <w:p>
      <w:pPr>
        <w:jc w:val="both"/>
        <w:ind w:left="1800" w:right="59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16"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57" w:lineRule="exact"/>
        <w:rPr>
          <w:sz w:val="20"/>
          <w:szCs w:val="20"/>
          <w:color w:val="auto"/>
        </w:rPr>
      </w:pPr>
    </w:p>
    <w:p>
      <w:pPr>
        <w:ind w:left="1800" w:right="5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 and</w:t>
      </w:r>
    </w:p>
    <w:p>
      <w:pPr>
        <w:spacing w:after="0" w:line="38" w:lineRule="exact"/>
        <w:rPr>
          <w:rFonts w:ascii="Arial" w:cs="Arial" w:eastAsia="Arial" w:hAnsi="Arial"/>
          <w:sz w:val="17"/>
          <w:szCs w:val="17"/>
          <w:color w:val="auto"/>
        </w:rPr>
      </w:pPr>
    </w:p>
    <w:p>
      <w:pPr>
        <w:ind w:left="1800" w:right="93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4"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b w:val="1"/>
          <w:bCs w:val="1"/>
          <w:i w:val="1"/>
          <w:iCs w:val="1"/>
          <w:color w:val="auto"/>
        </w:rPr>
        <w:t>We may be limited to the funds held outside of the trust account to fund our search for target businesses, to pay our tax obligations and to complete our initial business combination.</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Of the net proceeds of this offering, $1,000,000 is anticipated to be available to us initially outside the trust account to fund our working capital requirements. Especially if the over-allotment option is exercised in full, we may not have sufficient funds available with which to structure, negotiate or close our initial business combination. In such event, we would need to borrow funds from our insiders to operate or may be forced to liquidate. Our insiders are under no obligation to loan us any funds. If we are unable to obtain the funds necessary, we may be forced to cease searching for a target business and may be unable to complete our initial business combination.</w:t>
      </w:r>
    </w:p>
    <w:p>
      <w:pPr>
        <w:spacing w:after="0" w:line="195" w:lineRule="exact"/>
        <w:rPr>
          <w:sz w:val="20"/>
          <w:szCs w:val="20"/>
          <w:color w:val="auto"/>
        </w:rPr>
      </w:pPr>
    </w:p>
    <w:p>
      <w:pPr>
        <w:ind w:left="1260" w:right="659"/>
        <w:spacing w:after="0" w:line="342"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per-share redemption price received by stockholders may be less than approximately $10.10.</w:t>
      </w:r>
    </w:p>
    <w:p>
      <w:pPr>
        <w:spacing w:after="0" w:line="56"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w:t>
      </w:r>
    </w:p>
    <w:p>
      <w:pPr>
        <w:spacing w:after="0" w:line="110"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7"/>
          <w:szCs w:val="17"/>
          <w:color w:val="auto"/>
        </w:rPr>
        <w:t>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consummate an initial business combination within 12 months from the closing of this offering (or up to 18 months from the closing of this offering if we extend the period of time to consummate a business combination),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$10.10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third-party (excluding our independent registered public accounting firm) for services rendered or products sold to us, or a prospective target business with which we have discussed entering into a transaction agreement, reduce the amounts in the trust account to below the lesser of</w:t>
      </w:r>
    </w:p>
    <w:p>
      <w:pPr>
        <w:spacing w:after="0" w:line="11" w:lineRule="exact"/>
        <w:rPr>
          <w:sz w:val="20"/>
          <w:szCs w:val="20"/>
          <w:color w:val="auto"/>
        </w:rPr>
      </w:pPr>
    </w:p>
    <w:p>
      <w:pPr>
        <w:ind w:left="1260" w:right="419"/>
        <w:spacing w:after="0" w:line="235" w:lineRule="auto"/>
        <w:tabs>
          <w:tab w:leader="none" w:pos="14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$10.10 per public share and (ii) the actual amount per share held in the trust account as of the date of the liquidation of the trust account if less than $10.10 per share due to reductions in the value of the trust assets, in each case less taxes payable, provided that such liability will not apply to any claims by a third-party who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98" w:lineRule="exact"/>
        <w:rPr>
          <w:sz w:val="20"/>
          <w:szCs w:val="20"/>
          <w:color w:val="auto"/>
        </w:rPr>
      </w:pPr>
    </w:p>
    <w:p>
      <w:pPr>
        <w:ind w:left="1260" w:right="439"/>
        <w:spacing w:after="0" w:line="324" w:lineRule="auto"/>
        <w:rPr>
          <w:sz w:val="20"/>
          <w:szCs w:val="20"/>
          <w:color w:val="auto"/>
        </w:rPr>
      </w:pPr>
      <w:r>
        <w:rPr>
          <w:rFonts w:ascii="Arial" w:cs="Arial" w:eastAsia="Arial" w:hAnsi="Arial"/>
          <w:sz w:val="16"/>
          <w:szCs w:val="16"/>
          <w:b w:val="1"/>
          <w:bCs w:val="1"/>
          <w:i w:val="1"/>
          <w:iCs w:val="1"/>
          <w:color w:val="auto"/>
        </w:rPr>
        <w:t>Because our trust account will initially contain $10.10 per share of common stock, public stockholders may be more incentivized to redeem their public shares at the time of our initial business combination.</w:t>
      </w:r>
    </w:p>
    <w:p>
      <w:pPr>
        <w:spacing w:after="0" w:line="57"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Our trust account will initially contain $10.10 per share of common stock. This is different than some other similarly structured blank check companies for which the trust account will only contain $10.00 per share of common stock. As a result of the additional funds that could be available to public stockholders upon redemption of public shares, our public stockholders may be more incentivized to redeem their public shares and not to hold those shares of common stock through our initial business combination. A higher percentage of redemptions by our public stockholders could make it more difficult for us to complete our initial business combination.</w:t>
      </w:r>
    </w:p>
    <w:p>
      <w:pPr>
        <w:spacing w:after="0" w:line="191" w:lineRule="exact"/>
        <w:rPr>
          <w:sz w:val="20"/>
          <w:szCs w:val="20"/>
          <w:color w:val="auto"/>
        </w:rPr>
      </w:pPr>
    </w:p>
    <w:p>
      <w:pPr>
        <w:jc w:val="both"/>
        <w:ind w:left="1260" w:right="679"/>
        <w:spacing w:after="0" w:line="32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directors, officers, advisors and their affiliates may elect to purchase shares from public stockholders, which may influence a vote on a proposed initial business combination and reduce the public “float” of our common stock.</w:t>
      </w:r>
    </w:p>
    <w:p>
      <w:pPr>
        <w:spacing w:after="0" w:line="62" w:lineRule="exact"/>
        <w:rPr>
          <w:sz w:val="20"/>
          <w:szCs w:val="20"/>
          <w:color w:val="auto"/>
        </w:rPr>
      </w:pPr>
    </w:p>
    <w:p>
      <w:pPr>
        <w:jc w:val="both"/>
        <w:ind w:left="1260" w:right="439" w:firstLine="360"/>
        <w:spacing w:after="0" w:line="291"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officers, advisors or their affiliates may purchase public shares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in such transactions.</w:t>
      </w:r>
    </w:p>
    <w:p>
      <w:pPr>
        <w:spacing w:after="0" w:line="9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13"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In addition, if such purchases are made, the public “float” of our common stock and the number of beneficial holders of our securities may be reduced, possibly making it difficult to obtain or maintain the quotation, listing or trading of our securities on a national securities exchange.</w:t>
      </w:r>
    </w:p>
    <w:p>
      <w:pPr>
        <w:spacing w:after="0" w:line="182" w:lineRule="exact"/>
        <w:rPr>
          <w:sz w:val="20"/>
          <w:szCs w:val="20"/>
          <w:color w:val="auto"/>
        </w:rPr>
      </w:pPr>
    </w:p>
    <w:p>
      <w:pPr>
        <w:ind w:left="1260" w:right="459"/>
        <w:spacing w:after="0" w:line="322" w:lineRule="auto"/>
        <w:rPr>
          <w:sz w:val="20"/>
          <w:szCs w:val="20"/>
          <w:color w:val="auto"/>
        </w:rPr>
      </w:pPr>
      <w:r>
        <w:rPr>
          <w:rFonts w:ascii="Arial" w:cs="Arial" w:eastAsia="Arial" w:hAnsi="Arial"/>
          <w:sz w:val="15"/>
          <w:szCs w:val="15"/>
          <w:b w:val="1"/>
          <w:bCs w:val="1"/>
          <w:i w:val="1"/>
          <w:iCs w:val="1"/>
          <w:color w:val="auto"/>
        </w:rPr>
        <w:t>As the number of SPACs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62"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In recent years and especially since the second half of 2020, the number of SPACs that have been formed has increased substantially. Many potential targets for SPACs have already entered into an initial business combination, and there are still many SPACs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In addition, because there are more SPACs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81" w:lineRule="exact"/>
        <w:rPr>
          <w:sz w:val="20"/>
          <w:szCs w:val="20"/>
          <w:color w:val="auto"/>
        </w:rPr>
      </w:pPr>
    </w:p>
    <w:p>
      <w:pPr>
        <w:ind w:left="1260" w:right="539"/>
        <w:spacing w:after="0" w:line="368" w:lineRule="auto"/>
        <w:rPr>
          <w:sz w:val="20"/>
          <w:szCs w:val="20"/>
          <w:color w:val="auto"/>
        </w:rPr>
      </w:pPr>
      <w:r>
        <w:rPr>
          <w:rFonts w:ascii="Arial" w:cs="Arial" w:eastAsia="Arial" w:hAnsi="Arial"/>
          <w:sz w:val="13"/>
          <w:szCs w:val="13"/>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$10.10 per share on our redemption of our public shares, or less than such amount in certain circumstances, and our rights will expire worthless.</w:t>
      </w:r>
    </w:p>
    <w:p>
      <w:pPr>
        <w:spacing w:after="0" w:line="4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placement units, our ability to compete with respect to the acquisition of</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3" w:lineRule="auto"/>
        <w:rPr>
          <w:sz w:val="20"/>
          <w:szCs w:val="20"/>
          <w:color w:val="auto"/>
        </w:rPr>
      </w:pPr>
      <w:r>
        <w:rPr>
          <w:rFonts w:ascii="Arial" w:cs="Arial" w:eastAsia="Arial" w:hAnsi="Arial"/>
          <w:sz w:val="17"/>
          <w:szCs w:val="17"/>
          <w:color w:val="auto"/>
        </w:rPr>
        <w:t>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$10.10 per share on the liquidation of our trust account and our rights will expire worthless. In certain circumstances, our public stockholders may receive less than $10.10 per share upon our liquidation.</w:t>
      </w:r>
    </w:p>
    <w:p>
      <w:pPr>
        <w:spacing w:after="0" w:line="184"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3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In the event that the proceeds in the trust account are reduced below the lesser of (i) $10.10 per share and (ii) the actual amount per share held in the trust account as of the date of the liquidation of the trust account if less than $10.10 per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$10.10 per share.</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executive officers.</w:t>
      </w:r>
    </w:p>
    <w:p>
      <w:pPr>
        <w:spacing w:after="0" w:line="15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ind w:left="1260" w:right="559"/>
        <w:spacing w:after="0" w:line="270"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6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01"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In pursuing our initial business combination strategy, we may seek to effectuate our initial business combination with a privately held company. Very little public information generally exists about private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spacing w:after="0" w:line="248" w:lineRule="auto"/>
        <w:rPr>
          <w:sz w:val="20"/>
          <w:szCs w:val="20"/>
          <w:color w:val="auto"/>
        </w:rPr>
      </w:pPr>
      <w:r>
        <w:rPr>
          <w:rFonts w:ascii="Arial" w:cs="Arial" w:eastAsia="Arial" w:hAnsi="Arial"/>
          <w:sz w:val="18"/>
          <w:szCs w:val="18"/>
          <w:color w:val="auto"/>
        </w:rPr>
        <w:t>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2"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management’s area of expertise.</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Although we intend to focus on identifying software and technology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85"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b w:val="1"/>
          <w:bCs w:val="1"/>
          <w:i w:val="1"/>
          <w:i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96"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1"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20"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91"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01"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Our amended and restated certificate of incorporation will not provide a specified maximum redemption threshold, except that we will only redeem our public shares so long as (after such redemption) our net</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tangible assets will be at least $5,000,001 either immediately prior to or upon consummation of our initial business combination and after payment of underwriters’ fees and commissions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97" w:lineRule="exact"/>
        <w:rPr>
          <w:sz w:val="20"/>
          <w:szCs w:val="20"/>
          <w:color w:val="auto"/>
        </w:rPr>
      </w:pPr>
    </w:p>
    <w:p>
      <w:pPr>
        <w:ind w:left="1260" w:right="459"/>
        <w:spacing w:after="0" w:line="301" w:lineRule="auto"/>
        <w:rPr>
          <w:sz w:val="20"/>
          <w:szCs w:val="20"/>
          <w:color w:val="auto"/>
        </w:rPr>
      </w:pPr>
      <w:r>
        <w:rPr>
          <w:rFonts w:ascii="Arial" w:cs="Arial" w:eastAsia="Arial" w:hAnsi="Arial"/>
          <w:sz w:val="16"/>
          <w:szCs w:val="16"/>
          <w:b w:val="1"/>
          <w:bCs w:val="1"/>
          <w:i w:val="1"/>
          <w:iCs w:val="1"/>
          <w:color w:val="auto"/>
        </w:rPr>
        <w:t>Our sponsor paid an aggregate of $25,000 to cover certain of the offering costs of the Company for the founder shares, or approximately $0.006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7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95" w:lineRule="exact"/>
        <w:rPr>
          <w:sz w:val="20"/>
          <w:szCs w:val="20"/>
          <w:color w:val="auto"/>
        </w:rPr>
      </w:pPr>
    </w:p>
    <w:p>
      <w:pPr>
        <w:ind w:left="1260" w:right="779"/>
        <w:spacing w:after="0" w:line="381" w:lineRule="auto"/>
        <w:rPr>
          <w:sz w:val="20"/>
          <w:szCs w:val="20"/>
          <w:color w:val="auto"/>
        </w:rPr>
      </w:pPr>
      <w:r>
        <w:rPr>
          <w:rFonts w:ascii="Arial" w:cs="Arial" w:eastAsia="Arial" w:hAnsi="Arial"/>
          <w:sz w:val="15"/>
          <w:szCs w:val="15"/>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offering our units at an offering price of $10.00 per unit and the amount in our trust account is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initially anticipated to be $10.10 per public share, implying an initial value of $10.10 per public share.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However, prior to this offering, our sponsor paid a nominal aggregate purchase price of $25,000 to cover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certain of the offering costs of the Company for the founder shares, or approximately $0.006 per share. As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result, the value of your public shares may be significantly diluted upon the consummation of our initial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when the founder shares are converted into public shares. For example, the following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table shows the dilutive effect of the founder shares on the implied value of the public shares upon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our initial business combination, assuming that our equity value at that time 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$151,500,000, which is the amount we would have for our initial business combination in the trust account,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assuming the underwriters’ over-allotment option is not exercised, no interest is earned on the funds held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trust account, and no public shares are redeemed in connection with our initial business combination,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without taking into account any other potential impacts on our valuation at such time, such as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trading price of our public shares, the business combination transaction costs, any equity issued or cash paid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target’s sellers or other third parties, or the target’s business itself, including its assets, liabilities,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management and prospects, as well as the value of our public and private rights. At such valuation, each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shares of common stock would have an implied value of approximately $7.76 per share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consummation of our initial business combination, which would be a 23.17% decrease as compared to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initial implied value per public share of $10.10.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r>
      <w:tr>
        <w:trPr>
          <w:trHeight w:val="283"/>
        </w:trPr>
        <w:tc>
          <w:tcPr>
            <w:tcW w:w="6480" w:type="dxa"/>
            <w:vAlign w:val="bottom"/>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23"/>
                <w:szCs w:val="23"/>
                <w:color w:val="auto"/>
                <w:vertAlign w:val="superscript"/>
              </w:rPr>
              <w:t>(1)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Representative founder shares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63"/>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Private shares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w:t>
            </w: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19,525,000</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Total funds in trust available for initial business combination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151,500,000</w:t>
            </w:r>
          </w:p>
        </w:tc>
      </w:tr>
      <w:tr>
        <w:trPr>
          <w:trHeight w:val="27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Initial implied value per public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-685165</wp:posOffset>
            </wp:positionV>
            <wp:extent cx="4114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999" w:hanging="360"/>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over-allotment option has not been exercised and 562,500 shares were forfeited by our sponsor.</w:t>
      </w:r>
    </w:p>
    <w:p>
      <w:pPr>
        <w:spacing w:after="0" w:line="17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$10.10 per share.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Upon the closing of this offering, assuming no exercise of the underwriters’ over-allotment option,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sponsor will have invested in us an aggregate of $6,275,000, comprised of the $25,000 purchase price for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founder shares and the $6,250,000 purchase price for the private units. Assuming a trading price of</w:t>
      </w:r>
    </w:p>
    <w:p>
      <w:pPr>
        <w:ind w:left="1260"/>
        <w:spacing w:after="0"/>
        <w:rPr>
          <w:sz w:val="20"/>
          <w:szCs w:val="20"/>
          <w:color w:val="auto"/>
        </w:rPr>
      </w:pPr>
      <w:r>
        <w:rPr>
          <w:rFonts w:ascii="Arial" w:cs="Arial" w:eastAsia="Arial" w:hAnsi="Arial"/>
          <w:sz w:val="17"/>
          <w:szCs w:val="17"/>
          <w:color w:val="auto"/>
        </w:rPr>
        <w:t>$10.00 per share upon consummation of our initial business combination, the 3,750,000 founder shares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625,000 private shares would have an aggregate value of approximately $43,750,000 (assuming no value is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attributed to the rights included in the units we are offering pursuant to this prospectus or the private rights).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Even if the trading price of our common stock was as low as approximately $1.43 per share, the value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founder shares and private shares would be equal to the sponsor’s initial investment in us. As a result,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sponsor is likely to be able to recoup its investment in us and make a substantial profit on that investment,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even if our public shares have lost significant value. Accordingly, our management team, which owns</w:t>
      </w:r>
    </w:p>
    <w:p>
      <w:pPr>
        <w:ind w:left="1260"/>
        <w:spacing w:after="0"/>
        <w:rPr>
          <w:sz w:val="20"/>
          <w:szCs w:val="20"/>
          <w:color w:val="auto"/>
        </w:rPr>
      </w:pPr>
      <w:r>
        <w:rPr>
          <w:rFonts w:ascii="Arial" w:cs="Arial" w:eastAsia="Arial" w:hAnsi="Arial"/>
          <w:sz w:val="17"/>
          <w:szCs w:val="17"/>
          <w:color w:val="auto"/>
        </w:rPr>
        <w:t>interests in our sponsor, may have an economic incentive that differs from that of the public stockholders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pursue and consummate an initial business combination rather than to liquidate and to return all of the cash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the trust to the public stockholders, even if that business combination were with a riskier or less-</w:t>
      </w:r>
    </w:p>
    <w:p>
      <w:pPr>
        <w:ind w:left="1260"/>
        <w:spacing w:after="0"/>
        <w:rPr>
          <w:sz w:val="20"/>
          <w:szCs w:val="20"/>
          <w:color w:val="auto"/>
        </w:rPr>
      </w:pPr>
      <w:r>
        <w:rPr>
          <w:rFonts w:ascii="Arial" w:cs="Arial" w:eastAsia="Arial" w:hAnsi="Arial"/>
          <w:sz w:val="16"/>
          <w:szCs w:val="16"/>
          <w:color w:val="auto"/>
        </w:rPr>
        <w:t>established target business. For the foregoing reasons, you should consider our management team’s financial</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incentive to complete an initial business combination when evaluating whether to redeem your shares prior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or in connection with the initial business combination.</w:t>
      </w:r>
    </w:p>
    <w:p>
      <w:pPr>
        <w:spacing w:after="0" w:line="196"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other governing instruments, including their rights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9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including their rights agreements. For example, blank check companies have amended the definition of business combination, increased redemption thresholds and extended the time to consummate an initial business combination. Amending our amended and restated certificate of incorporation will require the approval of holders of 50% of our common stock, and amending our rights agreement will require a vote of holders of at least 50% of the rights.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from the closing of this offering (or up to 18 months from the closing of this offering if we extend the period of time to consummate a business combination)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82"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we have not completed our initial business combination within 12 months from the closing of this offering (or up to 18 months from the closing of this offering if we extend the period of time to consummate a business combination),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89" w:lineRule="exact"/>
        <w:rPr>
          <w:sz w:val="20"/>
          <w:szCs w:val="20"/>
          <w:color w:val="auto"/>
        </w:rPr>
      </w:pPr>
    </w:p>
    <w:p>
      <w:pPr>
        <w:jc w:val="both"/>
        <w:ind w:left="1260" w:right="419"/>
        <w:spacing w:after="0" w:line="368"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4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4" w:lineRule="exact"/>
        <w:rPr>
          <w:sz w:val="20"/>
          <w:szCs w:val="20"/>
          <w:color w:val="auto"/>
        </w:rPr>
      </w:pPr>
    </w:p>
    <w:p>
      <w:pPr>
        <w:ind w:left="12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7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jc w:val="both"/>
        <w:ind w:left="1260" w:right="65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Although we intend to focus our search in the non-operated, upstream oil and gas sector, we may consummate our initial business combination with a target business in any industry or geographic region we choose and are not limited to any particular industry, type of business or geographic region. Accordingly, there is no current basis for you to evaluate the possible merits or risks of the particular industry in which we</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38" w:lineRule="auto"/>
        <w:rPr>
          <w:sz w:val="20"/>
          <w:szCs w:val="20"/>
          <w:color w:val="auto"/>
        </w:rPr>
      </w:pPr>
      <w:r>
        <w:rPr>
          <w:rFonts w:ascii="Arial" w:cs="Arial" w:eastAsia="Arial" w:hAnsi="Arial"/>
          <w:sz w:val="18"/>
          <w:szCs w:val="18"/>
          <w:color w:val="auto"/>
        </w:rPr>
        <w:t>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94" w:lineRule="exact"/>
        <w:rPr>
          <w:sz w:val="20"/>
          <w:szCs w:val="20"/>
          <w:color w:val="auto"/>
        </w:rPr>
      </w:pPr>
    </w:p>
    <w:p>
      <w:pPr>
        <w:ind w:left="1260" w:right="519"/>
        <w:spacing w:after="0" w:line="262"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91"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Pursuant to the NYSE rules, our initial business combination must occur with one or more target businesses having an aggregate fair market value equal to at least 80% of the value of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the NYSE, we will not be required to satisfy the 80% test.</w:t>
      </w:r>
    </w:p>
    <w:p>
      <w:pPr>
        <w:spacing w:after="0" w:line="194" w:lineRule="exact"/>
        <w:rPr>
          <w:sz w:val="20"/>
          <w:szCs w:val="20"/>
          <w:color w:val="auto"/>
        </w:rPr>
      </w:pPr>
    </w:p>
    <w:p>
      <w:pPr>
        <w:ind w:left="1260" w:right="459"/>
        <w:spacing w:after="0" w:line="362" w:lineRule="auto"/>
        <w:rPr>
          <w:sz w:val="20"/>
          <w:szCs w:val="20"/>
          <w:color w:val="auto"/>
        </w:rPr>
      </w:pPr>
      <w:r>
        <w:rPr>
          <w:rFonts w:ascii="Arial" w:cs="Arial" w:eastAsia="Arial" w:hAnsi="Arial"/>
          <w:sz w:val="15"/>
          <w:szCs w:val="15"/>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3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2"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03"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4"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The ability of our public stockholders to exercise their redemption rights may not allow us to effectuate the most desirable business combination or optimize our capital structure.</w:t>
      </w:r>
    </w:p>
    <w:p>
      <w:pPr>
        <w:spacing w:after="0" w:line="90" w:lineRule="exact"/>
        <w:rPr>
          <w:sz w:val="20"/>
          <w:szCs w:val="20"/>
          <w:color w:val="auto"/>
        </w:rPr>
      </w:pPr>
    </w:p>
    <w:p>
      <w:pPr>
        <w:ind w:left="1260" w:right="519" w:firstLine="360"/>
        <w:spacing w:after="0" w:line="294" w:lineRule="auto"/>
        <w:rPr>
          <w:sz w:val="20"/>
          <w:szCs w:val="20"/>
          <w:color w:val="auto"/>
        </w:rPr>
      </w:pPr>
      <w:r>
        <w:rPr>
          <w:rFonts w:ascii="Arial" w:cs="Arial" w:eastAsia="Arial" w:hAnsi="Arial"/>
          <w:sz w:val="16"/>
          <w:szCs w:val="16"/>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color w:val="auto"/>
        </w:rPr>
        <w:t>to arrange third-party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4" w:lineRule="exact"/>
        <w:rPr>
          <w:sz w:val="20"/>
          <w:szCs w:val="20"/>
          <w:color w:val="auto"/>
        </w:rPr>
      </w:pPr>
    </w:p>
    <w:p>
      <w:pPr>
        <w:jc w:val="both"/>
        <w:ind w:left="1260" w:right="899"/>
        <w:spacing w:after="0" w:line="262"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stockholders may have to remain stockholders of our company and wait the full 12 months (or up to 18 months from the closing of this offering if we extend the period of time to consummate a business combination) in order to be able to receive a portion of the trust account, or attempt to sell their shares in the open market prior to such time, in which case they may receive less than they would have in a liquidation of the trust account.</w:t>
      </w:r>
    </w:p>
    <w:p>
      <w:pPr>
        <w:spacing w:after="0" w:line="183"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redemption rights with respect to more than 20% of the shares of common stock sold in this offering.</w:t>
      </w:r>
    </w:p>
    <w:p>
      <w:pPr>
        <w:spacing w:after="0" w:line="114"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the right to have his, her, or its shares of common stock redeemed into cash. Notwithstanding the foregoing, a public stockholder, together with any affiliate of his or hers or any other person with whom he or she is acting in concert or as a “group,” will be restricted from seeking redemption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redemption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redemption price.</w:t>
      </w:r>
    </w:p>
    <w:p>
      <w:pPr>
        <w:spacing w:after="0" w:line="180"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outstanding rights and the future dilution they represent, may not be viewed favorably by certain target businesses. Any of the foregoing may place us at a competitive disadvantage in successfully negotiating our initial business combination.</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9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our intention is to pursue prospective targets in the non-operated, upstream oil and gas sector.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1"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1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other reasons,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0"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b w:val="1"/>
          <w:bCs w:val="1"/>
          <w:i w:val="1"/>
          <w:iCs w:val="1"/>
          <w:color w:val="auto"/>
        </w:rPr>
        <w:t>Our public stockholders will not be entitled to vote or redeem their shares in connection with each of our potential three-month extensions.</w:t>
      </w:r>
    </w:p>
    <w:p>
      <w:pPr>
        <w:spacing w:after="0" w:line="103"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If we are not able to consummate our initial business combination within 12 months, we may, by resolution of our board if requested by our sponsor, extend the period of time to consummate a business combination up to two times, each by an additional three months, as long as our sponsor or its affiliates or designees, upon five days advance notice prior to the applicable deadline, deposits into the trust account $1,500,000, or $1,725,000 if the underwriters’ over-allotment option is exercised in full ($0.10 per unit in either case, up to an aggregate of $3,000,000 or $3,450,000 if the underwriters’ over-allotment option is exercised in full) on or prior to the date of the applicable deadline, for each three-month extension. Our public stockholders will not be entitled to vote or redeem their shares in connection with any such extension. This feature is different than the traditional special purpose acquisition company structure, in which any extension of the company’s period to complete a business combination requires a vote of the company’s stockholders and stockholders have the right to redeem their public shares in connection with such vote.</w:t>
      </w:r>
    </w:p>
    <w:p>
      <w:pPr>
        <w:spacing w:after="0" w:line="200"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b w:val="1"/>
          <w:bCs w:val="1"/>
          <w:i w:val="1"/>
          <w:iCs w:val="1"/>
          <w:color w:val="auto"/>
        </w:rPr>
        <w:t>Our sponsor may decide not to extend the term we have to consummate our initial business combination, in which case we would cease all operations except for the purpose of winding up and we would redeem our public shares and liquidate, and the rights will be worthless.</w:t>
      </w:r>
    </w:p>
    <w:p>
      <w:pPr>
        <w:spacing w:after="0" w:line="103"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7"/>
          <w:szCs w:val="17"/>
          <w:color w:val="auto"/>
        </w:rPr>
        <w:t>We will have until 12 months from the closing of this offering to consummate our initial business combination. However, if we anticipate that we may not be able to consummate our initial business combination within 12 months, we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as set out below. Our stockholders will not be entitled to vote or redeem their shares in connection with any such extension. However, our stockholders will be entitled to vote and redeem their shares in connection with a stockholder meeting held to approve an initial business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combination or in a tender offer undertaken in connection with an initial business combination if we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propose such a business combination during any three-month extension period. In order for the time</w:t>
      </w:r>
    </w:p>
    <w:p>
      <w:pPr>
        <w:ind w:left="1260"/>
        <w:spacing w:after="0"/>
        <w:rPr>
          <w:sz w:val="20"/>
          <w:szCs w:val="20"/>
          <w:color w:val="auto"/>
        </w:rPr>
      </w:pPr>
      <w:r>
        <w:rPr>
          <w:rFonts w:ascii="Arial" w:cs="Arial" w:eastAsia="Arial" w:hAnsi="Arial"/>
          <w:sz w:val="17"/>
          <w:szCs w:val="17"/>
          <w:color w:val="auto"/>
        </w:rPr>
        <w:t>available for us to consummate our initial business combination to be extended, our sponsor or its affiliates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designees must deposit into the trust account $1,500,000, or $1,725,000 if the underwriters’ over-</w:t>
      </w:r>
    </w:p>
    <w:p>
      <w:pPr>
        <w:ind w:left="1260"/>
        <w:spacing w:after="0" w:line="234" w:lineRule="auto"/>
        <w:rPr>
          <w:sz w:val="20"/>
          <w:szCs w:val="20"/>
          <w:color w:val="auto"/>
        </w:rPr>
      </w:pPr>
      <w:r>
        <w:rPr>
          <w:rFonts w:ascii="Arial" w:cs="Arial" w:eastAsia="Arial" w:hAnsi="Arial"/>
          <w:sz w:val="18"/>
          <w:szCs w:val="18"/>
          <w:color w:val="auto"/>
        </w:rPr>
        <w:t>allotment option is exercised in full ($0.10 per unit in either case), up to an aggregate of $3,000,000 (or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$3,450,000 if the underwriters’ over-allotment option is exercised in full), or $0.20 per unit, on or prior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date of the applicable deadline, for each three month extension. Any such payments would be made in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form of a non-interest bearing loan. If we complete our initial business combination, we will, at the</w:t>
      </w:r>
    </w:p>
    <w:p>
      <w:pPr>
        <w:ind w:left="1260"/>
        <w:spacing w:after="0"/>
        <w:rPr>
          <w:sz w:val="20"/>
          <w:szCs w:val="20"/>
          <w:color w:val="auto"/>
        </w:rPr>
      </w:pPr>
      <w:r>
        <w:rPr>
          <w:rFonts w:ascii="Arial" w:cs="Arial" w:eastAsia="Arial" w:hAnsi="Arial"/>
          <w:sz w:val="17"/>
          <w:szCs w:val="17"/>
          <w:color w:val="auto"/>
        </w:rPr>
        <w:t>option of our sponsor, repay such loaned amounts out of the proceeds of the trust account released to us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convert a portion or all of the total loan amount into units at a price of $10.00 per unit, which units will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identical to the private units. If we do not complete a business combination, we will repay such loans only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funds held outside of the trust account. Our sponsor and its affiliates or designees are not obligated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fund the trust account to extend the time for us to complete our initial business combination. If we are</w:t>
      </w:r>
    </w:p>
    <w:p>
      <w:pPr>
        <w:ind w:left="1260"/>
        <w:spacing w:after="0" w:line="234" w:lineRule="auto"/>
        <w:rPr>
          <w:sz w:val="20"/>
          <w:szCs w:val="20"/>
          <w:color w:val="auto"/>
        </w:rPr>
      </w:pPr>
      <w:r>
        <w:rPr>
          <w:rFonts w:ascii="Arial" w:cs="Arial" w:eastAsia="Arial" w:hAnsi="Arial"/>
          <w:sz w:val="18"/>
          <w:szCs w:val="18"/>
          <w:color w:val="auto"/>
        </w:rPr>
        <w:t>unable to consummate our initial business combination within the applicable time period, we will, as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promptly as reasonably possible but not more than five business days thereafter, redeem the public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a pro rata portion of the funds held in the trust account and as promptly as reasonably possible following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such redemption, subject to the approval of our remaining stockholders and our board of directors, dissolve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liquidate, subject in each case to our obligations under Delaware law to provide for claims of creditors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the requirements of other applicable law.</w:t>
      </w:r>
    </w:p>
    <w:p>
      <w:pPr>
        <w:spacing w:after="0" w:line="196"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Our insiders will control a substantial interest in us and thus may influence certain actions requiring a stockholder vote.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consummation of our offering and sale of the private units, our insiders will</w:t>
      </w:r>
    </w:p>
    <w:p>
      <w:pPr>
        <w:spacing w:after="0" w:line="1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collectively beneficially own approximately 20% of our issued and outstanding shares of common stock (not including the private units and underlying securities and the representative founder shares and assuming they do not purchase units in this offering). None of our insiders director nominees or their affiliates has committed to purchase units in this offering or any units or shares from persons in the open market or in private transactions. However, our insiders or their affiliates could determine in the future to make such purchases in the open market or in private transactions, to the extent permitted by law, in order to influence the vote. In connection with any vote for a proposed business combination, our insiders have agreed to vote the shares of common stock owned by them immediately before this offering as well as the private shares and any shares of common stock acquired in this offering or in the aftermarket in favor of such proposed business combination, and therefore will have a significant influence on the vote.</w:t>
      </w:r>
    </w:p>
    <w:p>
      <w:pPr>
        <w:spacing w:after="0" w:line="181"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12 months (or up to 18 months from the closing of this offering if we extend the period of time to consummate a business combination).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95" w:lineRule="exact"/>
        <w:rPr>
          <w:sz w:val="20"/>
          <w:szCs w:val="20"/>
          <w:color w:val="auto"/>
        </w:rPr>
      </w:pPr>
    </w:p>
    <w:p>
      <w:pPr>
        <w:ind w:left="1260" w:right="1259"/>
        <w:spacing w:after="0" w:line="261"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03"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In accordance with the NYSE’s corporate governance requirements, we are not required to hold an annual meeting until one year after our first fiscal year end following our listing on the NYSE. Under Section 211(b) of the Delaware General Corporation Law, we are, however, required to hold an annual meeting of stockholders for the purposes of electing directors in accordance with our bylaws unless such</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95"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b w:val="1"/>
          <w:bCs w:val="1"/>
          <w:i w:val="1"/>
          <w:iCs w:val="1"/>
          <w:color w:val="auto"/>
        </w:rPr>
        <w:t>If our insiders or the representative exercise their registration rights, it may have an adverse effect on the market price of our shares of common stock and the existence of these rights may make it more difficult to affect our initial business combination</w:t>
      </w:r>
    </w:p>
    <w:p>
      <w:pPr>
        <w:spacing w:after="0" w:line="103" w:lineRule="exact"/>
        <w:rPr>
          <w:sz w:val="20"/>
          <w:szCs w:val="20"/>
          <w:color w:val="auto"/>
        </w:rPr>
      </w:pPr>
    </w:p>
    <w:p>
      <w:pPr>
        <w:ind w:left="1260" w:right="619" w:firstLine="360"/>
        <w:spacing w:after="0" w:line="267" w:lineRule="auto"/>
        <w:rPr>
          <w:sz w:val="20"/>
          <w:szCs w:val="20"/>
          <w:color w:val="auto"/>
        </w:rPr>
      </w:pPr>
      <w:r>
        <w:rPr>
          <w:rFonts w:ascii="Arial" w:cs="Arial" w:eastAsia="Arial" w:hAnsi="Arial"/>
          <w:sz w:val="17"/>
          <w:szCs w:val="17"/>
          <w:color w:val="auto"/>
        </w:rPr>
        <w:t>Our insiders and the representative are entitled to make certain demands that we register the resale of the founder shares and representative founder shares, respectively. Additionally, the purchasers of the private units and our insiders or their affiliates are entitled to demand that we register the resale of the private units (and underlying securities) and any units (and underlying securities) our insiders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w:t>
      </w:r>
    </w:p>
    <w:p>
      <w:pPr>
        <w:spacing w:after="0" w:line="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193" w:lineRule="exact"/>
        <w:rPr>
          <w:sz w:val="20"/>
          <w:szCs w:val="20"/>
          <w:color w:val="auto"/>
        </w:rPr>
      </w:pPr>
    </w:p>
    <w:p>
      <w:pPr>
        <w:jc w:val="both"/>
        <w:ind w:left="1260" w:right="439"/>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enter into agreements with consultants or financial advisers that provide for the payment of fees upon the consummation of our initial business combination, and, therefore, such consultants or financial advisers may have conflicts of interest.</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have engaged the representative to assist us in connection with our initial business combination. We may enter into additional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with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84"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b w:val="1"/>
          <w:bCs w:val="1"/>
          <w:i w:val="1"/>
          <w:iCs w:val="1"/>
          <w:color w:val="auto"/>
        </w:rPr>
        <w:t>EarlyBirdCapital may have a conflict of interest in rendering services to us in connection with our initial business combination.</w:t>
      </w:r>
    </w:p>
    <w:p>
      <w:pPr>
        <w:spacing w:after="0" w:line="103"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upon the consummation of our initial business combination in an aggregate amount equal to 3.5% of the total gross proceeds raised in the offering. We will also pay EarlyBirdCapital a cash fee of 1.0% of the total consideration payable in a proposed business combination if EarlyBirdCapital introduces us to the target business with which we complete a business combination. The representative founder shares will also be worthless if we do not consummate an initial business combination. The financial interests may result in EarlyBirdCapital having a conflict of interest when providing the services to us in connection with an initial business combination.</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01"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63"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17"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w:t>
      </w:r>
    </w:p>
    <w:p>
      <w:pPr>
        <w:spacing w:after="0" w:line="16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97"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1260" w:right="439"/>
        <w:spacing w:after="0" w:line="266" w:lineRule="auto"/>
        <w:rPr>
          <w:sz w:val="20"/>
          <w:szCs w:val="20"/>
          <w:color w:val="auto"/>
        </w:rPr>
      </w:pPr>
      <w:r>
        <w:rPr>
          <w:rFonts w:ascii="Arial" w:cs="Arial" w:eastAsia="Arial" w:hAnsi="Arial"/>
          <w:sz w:val="17"/>
          <w:szCs w:val="17"/>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stockholders may receive only approximately $10.10 per share on the liquidation of our trust account.</w:t>
      </w:r>
    </w:p>
    <w:p>
      <w:pPr>
        <w:spacing w:after="0" w:line="200" w:lineRule="exact"/>
        <w:rPr>
          <w:sz w:val="20"/>
          <w:szCs w:val="20"/>
          <w:color w:val="auto"/>
        </w:rPr>
      </w:pPr>
    </w:p>
    <w:p>
      <w:pPr>
        <w:spacing w:after="0" w:line="207"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12 months from the closing of this offering (or up to 18 months from the closing of this offering if we extend the period of time to consummate a business combination) may give potential target businesses leverage over us in negotiating our initial business combination.</w:t>
      </w:r>
    </w:p>
    <w:p>
      <w:pPr>
        <w:spacing w:after="0" w:line="11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We have 12 months from the closing of this offering to complete our initial business combination (or up to 18 months from the closing of this offering if we extend the period of time to consummate a business combination). Any potential target business with which we enter into negotiations concerning a business combination will be aware of this requirement. Consequently, such target business may obtain leverage over</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84" w:lineRule="exact"/>
        <w:rPr>
          <w:sz w:val="20"/>
          <w:szCs w:val="20"/>
          <w:color w:val="auto"/>
        </w:rPr>
      </w:pPr>
    </w:p>
    <w:p>
      <w:pPr>
        <w:jc w:val="both"/>
        <w:ind w:left="1260" w:right="7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In all other instances, we will have no obligation to obtain an opinion.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95" w:lineRule="exact"/>
        <w:rPr>
          <w:sz w:val="20"/>
          <w:szCs w:val="20"/>
          <w:color w:val="auto"/>
        </w:rPr>
      </w:pPr>
    </w:p>
    <w:p>
      <w:pPr>
        <w:ind w:left="1260" w:right="419"/>
        <w:spacing w:after="0" w:line="279"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$10.10 per share on the liquidation of our trust account.</w:t>
      </w:r>
    </w:p>
    <w:p>
      <w:pPr>
        <w:spacing w:after="0" w:line="10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$10.10 per share on the liquidation of our trust account.</w:t>
      </w:r>
    </w:p>
    <w:p>
      <w:pPr>
        <w:spacing w:after="0" w:line="185"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7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2"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03"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Our amended and restated certificate of incorporation will contain provisions that may discourage unsolicited takeover proposals that stockholders may consider to be in their best interests.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left="1260" w:right="459"/>
        <w:spacing w:after="0" w:line="389"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91" w:lineRule="exact"/>
        <w:rPr>
          <w:sz w:val="20"/>
          <w:szCs w:val="20"/>
          <w:color w:val="auto"/>
        </w:rPr>
      </w:pPr>
    </w:p>
    <w:p>
      <w:pPr>
        <w:ind w:left="1260" w:right="499"/>
        <w:spacing w:after="0" w:line="389" w:lineRule="auto"/>
        <w:rPr>
          <w:sz w:val="20"/>
          <w:szCs w:val="20"/>
          <w:color w:val="auto"/>
        </w:rPr>
      </w:pPr>
      <w:r>
        <w:rPr>
          <w:rFonts w:ascii="Arial" w:cs="Arial" w:eastAsia="Arial" w:hAnsi="Arial"/>
          <w:sz w:val="13"/>
          <w:szCs w:val="13"/>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2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9"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03"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12 months from the closing of this offering (or up to 18 months from the closing of this offering if we extend the period of time to consummate a business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combination)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12th month from the closing of this offering (or up to the 18th month from the closing of this offering if we extend the period of time to consummate a business combination) in the event we do not complete our initial business combination and, therefore, we do not intend to comply with the foregoing procedures.</w:t>
      </w:r>
    </w:p>
    <w:p>
      <w:pPr>
        <w:spacing w:after="0" w:line="9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12 months from the closing of this offering (or up to 18 months from the closing of this offering if we extend the period of time to consummate a business combination)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0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Recently, the market for directors and officers liability insurance for special purpose acquisition companies has changed. The premiums charged for such policies have generally increased and the terms of such policies have generally become less favorable. There can be no assurance that these trends will not continue.</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1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it is likely that the post-business combination entity will need to purchase additional insurance with respect to any such claims (“run-off insurance”).</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76"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 called PIPE transactions) at a price of $10.00 per share or at a price which approximates the per-share amounts in our trust account at such time, which is initially approximately $10.10.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189"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7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 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18"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may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91" w:lineRule="exact"/>
        <w:rPr>
          <w:sz w:val="20"/>
          <w:szCs w:val="20"/>
          <w:color w:val="auto"/>
        </w:rPr>
      </w:pPr>
    </w:p>
    <w:p>
      <w:pPr>
        <w:ind w:left="1260" w:right="539"/>
        <w:spacing w:after="0" w:line="324"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43"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8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are dependent upon our executive officers and directors and their departure could adversely affect our ability to operate.</w:t>
      </w:r>
    </w:p>
    <w:p>
      <w:pPr>
        <w:spacing w:after="0" w:line="76"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9"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57"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10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66" w:lineRule="exact"/>
        <w:rPr>
          <w:sz w:val="20"/>
          <w:szCs w:val="20"/>
          <w:color w:val="auto"/>
        </w:rPr>
      </w:pPr>
    </w:p>
    <w:p>
      <w:pPr>
        <w:ind w:left="1260" w:right="479"/>
        <w:spacing w:after="0" w:line="284"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1"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91" w:lineRule="exact"/>
        <w:rPr>
          <w:sz w:val="20"/>
          <w:szCs w:val="20"/>
          <w:color w:val="auto"/>
        </w:rPr>
      </w:pPr>
    </w:p>
    <w:p>
      <w:pPr>
        <w:ind w:left="1260" w:right="599"/>
        <w:spacing w:after="0" w:line="362" w:lineRule="auto"/>
        <w:rPr>
          <w:sz w:val="20"/>
          <w:szCs w:val="20"/>
          <w:color w:val="auto"/>
        </w:rPr>
      </w:pPr>
      <w:r>
        <w:rPr>
          <w:rFonts w:ascii="Arial" w:cs="Arial" w:eastAsia="Arial" w:hAnsi="Arial"/>
          <w:sz w:val="15"/>
          <w:szCs w:val="15"/>
          <w:b w:val="1"/>
          <w:bCs w:val="1"/>
          <w:i w:val="1"/>
          <w:iCs w:val="1"/>
          <w:color w:val="auto"/>
        </w:rPr>
        <w:t>Our insiders and their affiliates may be owed reimbursement for out-of-pocket expenses which may cause them to have conflicts of interest in determining whether a particular business combination is most advantageous.</w:t>
      </w:r>
    </w:p>
    <w:p>
      <w:pPr>
        <w:spacing w:after="0" w:line="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Our insiders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60"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8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80" w:lineRule="exact"/>
        <w:rPr>
          <w:sz w:val="20"/>
          <w:szCs w:val="20"/>
          <w:color w:val="auto"/>
        </w:rPr>
      </w:pPr>
    </w:p>
    <w:p>
      <w:pPr>
        <w:ind w:left="1260" w:right="399"/>
        <w:spacing w:after="0" w:line="433" w:lineRule="auto"/>
        <w:rPr>
          <w:sz w:val="20"/>
          <w:szCs w:val="20"/>
          <w:color w:val="auto"/>
        </w:rPr>
      </w:pPr>
      <w:r>
        <w:rPr>
          <w:rFonts w:ascii="Arial" w:cs="Arial" w:eastAsia="Arial" w:hAnsi="Arial"/>
          <w:sz w:val="13"/>
          <w:szCs w:val="13"/>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In light of the involvement of our insiders and director nominees with other entities, we may decide to acquire one or more businesses affiliated with our insiders and director nominees. Our directors and director</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color w:val="auto"/>
        </w:rPr>
        <w:t>nominees also serve as officers and board members for other entities, including, without limitation, those described under “Management — Conflicts of Interest.” Our insiders and director nominees are not currently aware of any 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insiders, potential conflicts of interest still may exist and, as a result, the terms of the business combination may not be as advantageous to our public stockholders as they would be absent any conflicts of interest.</w:t>
      </w:r>
    </w:p>
    <w:p>
      <w:pPr>
        <w:spacing w:after="0" w:line="180" w:lineRule="exact"/>
        <w:rPr>
          <w:sz w:val="20"/>
          <w:szCs w:val="20"/>
          <w:color w:val="auto"/>
        </w:rPr>
      </w:pPr>
    </w:p>
    <w:p>
      <w:pPr>
        <w:ind w:left="1260" w:right="459"/>
        <w:spacing w:after="0" w:line="379" w:lineRule="auto"/>
        <w:rPr>
          <w:sz w:val="20"/>
          <w:szCs w:val="20"/>
          <w:color w:val="auto"/>
        </w:rPr>
      </w:pPr>
      <w:r>
        <w:rPr>
          <w:rFonts w:ascii="Arial" w:cs="Arial" w:eastAsia="Arial" w:hAnsi="Arial"/>
          <w:sz w:val="13"/>
          <w:szCs w:val="13"/>
          <w:b w:val="1"/>
          <w:bCs w:val="1"/>
          <w:i w:val="1"/>
          <w:iCs w:val="1"/>
          <w:color w:val="auto"/>
        </w:rPr>
        <w:t>Members of our management team and board of directors have significant experience as founders, board members, officers, executives or employees of other companies. Certain of those persons have been, may be, or may become, involved in litigation, investigations or other proceedings, including related to those companies or otherwise. The defense or prosecution of these matters could be time-consuming and could divert our management’s attention, and may have an adverse effect on us, which may impede our ability to consummate an initial business combination.</w:t>
      </w:r>
    </w:p>
    <w:p>
      <w:pPr>
        <w:spacing w:after="0" w:line="3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During the course of their careers, members of our management team and board of directors have had significant experience as founders, board members, officers, executives or employees of other companies. As a result of their involvement and positions in these companies, certain of those persons have been, may be or may in the future become involved in litigation, investigations or other proceedings, including relating to the business affairs of such companies, transactions entered into by such companies, or</w:t>
      </w:r>
    </w:p>
    <w:p>
      <w:pPr>
        <w:spacing w:after="0" w:line="3"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otherwise. Individual members of our management team and board of directors 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litigation, investigations or other proceedings and the potential outcomes of such actions may divert the attention and resources of our management team and board of directors away from identifying and selecting a target business or businesses for our initial business combination and may negatively affect our reputation, which may impede our ability to complete an initial business combination.</w:t>
      </w:r>
    </w:p>
    <w:p>
      <w:pPr>
        <w:spacing w:after="0" w:line="197" w:lineRule="exact"/>
        <w:rPr>
          <w:sz w:val="20"/>
          <w:szCs w:val="20"/>
          <w:color w:val="auto"/>
        </w:rPr>
      </w:pPr>
    </w:p>
    <w:p>
      <w:pPr>
        <w:ind w:left="1260" w:right="659"/>
        <w:spacing w:after="0" w:line="311" w:lineRule="auto"/>
        <w:rPr>
          <w:sz w:val="20"/>
          <w:szCs w:val="20"/>
          <w:color w:val="auto"/>
        </w:rPr>
      </w:pPr>
      <w:r>
        <w:rPr>
          <w:rFonts w:ascii="Arial" w:cs="Arial" w:eastAsia="Arial" w:hAnsi="Arial"/>
          <w:sz w:val="16"/>
          <w:szCs w:val="16"/>
          <w:b w:val="1"/>
          <w:bCs w:val="1"/>
          <w:i w:val="1"/>
          <w:iCs w:val="1"/>
          <w:color w:val="auto"/>
        </w:rPr>
        <w:t>The shares beneficially owned by our insiders, including our officers and directors, will not participate in a redemption and, therefore, our insiders may have a conflict of interest in determining whether a particular target business is appropriate for our initial business combination.</w:t>
      </w:r>
    </w:p>
    <w:p>
      <w:pPr>
        <w:spacing w:after="0" w:line="8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On October 7, 2021, our sponsor paid $25,000 to cover certain of the offering costs of the Company, or approximately $0.006 per share, in consideration of 4,312,500 founder shares. Prior to the initial investment in the company of $25,000 by our sponsor, the company had no assets, tangible or intangible. As such, our insiders will own 20% of our issued and outstanding shares after this offering (not including the</w:t>
      </w:r>
    </w:p>
    <w:p>
      <w:pPr>
        <w:spacing w:after="0" w:line="2" w:lineRule="exact"/>
        <w:rPr>
          <w:sz w:val="20"/>
          <w:szCs w:val="20"/>
          <w:color w:val="auto"/>
        </w:rPr>
      </w:pPr>
    </w:p>
    <w:p>
      <w:pPr>
        <w:ind w:left="1260" w:right="519"/>
        <w:spacing w:after="0" w:line="265" w:lineRule="auto"/>
        <w:rPr>
          <w:sz w:val="20"/>
          <w:szCs w:val="20"/>
          <w:color w:val="auto"/>
        </w:rPr>
      </w:pPr>
      <w:r>
        <w:rPr>
          <w:rFonts w:ascii="Arial" w:cs="Arial" w:eastAsia="Arial" w:hAnsi="Arial"/>
          <w:sz w:val="17"/>
          <w:szCs w:val="17"/>
          <w:color w:val="auto"/>
        </w:rPr>
        <w:t>private units and underlying securities and the representative founder shares and assuming they do not purchase units in this offering). If we increase or decrease the size of the offering, we will effect a capitalization or share surrender or redemption or other appropriate mechanism, as applicable, immediately prior to the consummation of the offering in such amount as to maintain the ownership of our insiders prior to this offering at 20% of our issued and outstanding shares of common stock upon the consummation of this offering. In addition, our sponsor has committed to purchase from us 625,000 private units (or</w:t>
      </w:r>
    </w:p>
    <w:p>
      <w:pPr>
        <w:spacing w:after="0" w:line="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692,500 units if the over-allotment option is exercised in full), or “private units,” at $10.00 per private rights for a total purchase price of $6,250,000 (or $6,925,000 if the over-allotment option is exercised in full).</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insiders, including our officers and directors, have waived their right to redeem their founder shares and private rights in connection with a business combination and their redemption rights with respect to their founder shares and private rights if we are unable to consummate our initial business combination. Accordingly, these securities will be worthless if we do not consummate our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91"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b w:val="1"/>
          <w:bCs w:val="1"/>
          <w:i w:val="1"/>
          <w:iCs w:val="1"/>
          <w:color w:val="auto"/>
        </w:rPr>
        <w:t>If we are unable to consummate a business combination, any loans made by our insiders, including our officers and directors, or their affiliates would not be repaid, resulting in a potential conflict of interest in determining whether a potential transaction is in our stockholders’ best interest.</w:t>
      </w:r>
    </w:p>
    <w:p>
      <w:pPr>
        <w:spacing w:after="0" w:line="8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order to meet our working capital needs following the consummation of this offering, our insiders, including our officers and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94" w:lineRule="exact"/>
        <w:rPr>
          <w:sz w:val="20"/>
          <w:szCs w:val="20"/>
          <w:color w:val="auto"/>
        </w:rPr>
      </w:pPr>
    </w:p>
    <w:p>
      <w:pPr>
        <w:ind w:left="1260" w:right="439"/>
        <w:spacing w:after="0" w:line="322"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6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198"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If we determine to amend certain agreements made by our management team, many of the disclosures contained in this prospectus regarding those agreements would no longer apply.</w:t>
      </w:r>
    </w:p>
    <w:p>
      <w:pPr>
        <w:spacing w:after="0" w:line="103" w:lineRule="exact"/>
        <w:rPr>
          <w:sz w:val="20"/>
          <w:szCs w:val="20"/>
          <w:color w:val="auto"/>
        </w:rPr>
      </w:pPr>
    </w:p>
    <w:p>
      <w:pPr>
        <w:ind w:left="1260" w:right="639" w:firstLine="360"/>
        <w:spacing w:after="0" w:line="251"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w:t>
      </w:r>
    </w:p>
    <w:p>
      <w:pPr>
        <w:spacing w:after="0" w:line="4"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3" w:lineRule="auto"/>
        <w:rPr>
          <w:sz w:val="20"/>
          <w:szCs w:val="20"/>
          <w:color w:val="auto"/>
        </w:rPr>
      </w:pPr>
      <w:r>
        <w:rPr>
          <w:rFonts w:ascii="Arial" w:cs="Arial" w:eastAsia="Arial" w:hAnsi="Arial"/>
          <w:sz w:val="18"/>
          <w:szCs w:val="18"/>
          <w:color w:val="auto"/>
        </w:rPr>
        <w:t>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8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92" w:lineRule="exact"/>
        <w:rPr>
          <w:sz w:val="20"/>
          <w:szCs w:val="20"/>
          <w:color w:val="auto"/>
        </w:rPr>
      </w:pPr>
    </w:p>
    <w:p>
      <w:pPr>
        <w:ind w:left="1260" w:right="899"/>
        <w:spacing w:after="0" w:line="308"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7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anticipate that our securities will be listed on the NYSE. We expect that our units will be listed on the NYSE on or promptly after the date of this prospectus and our common stock and rights on or promptly after their date of separation. Although after giving effect to this offering we expect to meet, on a pro forma basis, the minimum initial listing standards set forth in the NYSE’s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average global market capitalization and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share price would generally be required to be at least $4.00 per share, our global market capitalization would be required to be at least $150 million, the aggregate market value of our publicly-held shares would be required to be at least $40 million and we would be required to have a minimum of 400 round lot holders and 1,100,000 publicly held shares. We cannot assure you that we will be able to meet those initial listing requirements at that time.</w:t>
      </w:r>
    </w:p>
    <w:p>
      <w:pPr>
        <w:spacing w:after="0" w:line="127"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5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rights will be listed on the NYSE, our units, common stock and rights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NYSE, our securities would not qualify as covered securities under the statute and we would be subject to regulation in each state in which we offer our securities.</w:t>
      </w:r>
    </w:p>
    <w:p>
      <w:pPr>
        <w:spacing w:after="0" w:line="171" w:lineRule="exact"/>
        <w:rPr>
          <w:sz w:val="20"/>
          <w:szCs w:val="20"/>
          <w:color w:val="auto"/>
        </w:rPr>
      </w:pPr>
    </w:p>
    <w:p>
      <w:pPr>
        <w:jc w:val="both"/>
        <w:ind w:left="1260" w:right="579"/>
        <w:spacing w:after="0" w:line="270" w:lineRule="auto"/>
        <w:rPr>
          <w:sz w:val="20"/>
          <w:szCs w:val="20"/>
          <w:color w:val="auto"/>
        </w:rPr>
      </w:pPr>
      <w:r>
        <w:rPr>
          <w:rFonts w:ascii="Arial" w:cs="Arial" w:eastAsia="Arial" w:hAnsi="Arial"/>
          <w:sz w:val="17"/>
          <w:szCs w:val="17"/>
          <w:b w:val="1"/>
          <w:bCs w:val="1"/>
          <w:i w:val="1"/>
          <w:iCs w:val="1"/>
          <w:color w:val="auto"/>
        </w:rPr>
        <w:t>Our insiders paid an aggregate of $25,000 to cover certain of the offering costs of the Company, or approximately $0.006 per share, for the founder shares, and, accordingly, you will experience immediate and substantial dilution from the purchase of our shares of common stock.</w:t>
      </w:r>
    </w:p>
    <w:p>
      <w:pPr>
        <w:spacing w:after="0" w:line="8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of common stock after this offering constitutes the dilution to the investors in this offering. Our insiders acquired the founder shares for $0.006 per share, significantly contributing to this dilution. Upon consummation of this offering, you and the other new investors will incur an immediate and substantial dilution of approximately 98.13% or $ 8.92 per share (the difference between the pro forma net tangible book value per share of $0.17, and the initial offering price of $9.09 per share), taking into account that the net tangible book value per share prior to this offering was $(0.01) . This is because investors in this offering will be contributing approximately 96.0% of the total amount paid to us for our outstanding shares of common stock after this offering but will own approximately 78.25% of our outstanding shares of common stock. Accordingly, the per-share purchase price you will be paying substantially exceeds our per share net tangible book value.</w:t>
      </w:r>
    </w:p>
    <w:p>
      <w:pPr>
        <w:spacing w:after="0" w:line="195"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5"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rights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rights underlying the units, include:</w:t>
      </w:r>
    </w:p>
    <w:p>
      <w:pPr>
        <w:spacing w:after="0" w:line="83"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2"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$10.10 per share.</w:t>
      </w:r>
    </w:p>
    <w:p>
      <w:pPr>
        <w:spacing w:after="0" w:line="9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proceeds held in the trust account will be held as cash or invested only in the U.S. government treasury bills with a maturity of 185 days or less or in money market funds investing solely in U.S. Treasuries and meeting certain conditions under Rule 2a-7 under the Investment Company Act. While short-term</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taxes paid or payable. Negative interest rates could reduce the value of the assets held in trust such that the per-share redemption amount received by public stockholders may be less than $10.10 per share.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You will not have any rights or interests in funds from the trust account, except under certain limited circumstances.</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To liquidate your investment, therefore, you may be forced to sell your public shares or rights, potentially at a loss.</w:t>
      </w:r>
    </w:p>
    <w:p>
      <w:pPr>
        <w:spacing w:after="0" w:line="17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12 months from the closing of this offering (or up to 18 months from the closing of this offering if we extend the period of time to consummate a business combination) or (B) with respect to any other provision relating to stockholders’ rights or pre- initial business combination activity and (iii) the redemption of our public shares if we are unable to complete an initial business combination within 12 months from the closing of this offering (or up to 18 months from the closing of this offering if we extend the period of time to consummate a business combination), subject to applicable law and as further described herein. In no other circumstances will a public stockholder have any right or interest of any kind in the trust account. Holders of rights will not have any right to the proceeds held in the trust account with respect to the rights. Accordingly, to liquidate your investment, you may be forced to sell your public shares or rights, potentially at a loss.</w:t>
      </w:r>
    </w:p>
    <w:p>
      <w:pPr>
        <w:spacing w:after="0" w:line="183" w:lineRule="exact"/>
        <w:rPr>
          <w:sz w:val="20"/>
          <w:szCs w:val="20"/>
          <w:color w:val="auto"/>
        </w:rPr>
      </w:pPr>
    </w:p>
    <w:p>
      <w:pPr>
        <w:ind w:left="1260" w:right="539"/>
        <w:spacing w:after="0" w:line="389" w:lineRule="auto"/>
        <w:rPr>
          <w:sz w:val="20"/>
          <w:szCs w:val="20"/>
          <w:color w:val="auto"/>
        </w:rPr>
      </w:pPr>
      <w:r>
        <w:rPr>
          <w:rFonts w:ascii="Arial" w:cs="Arial" w:eastAsia="Arial" w:hAnsi="Arial"/>
          <w:sz w:val="13"/>
          <w:szCs w:val="13"/>
          <w:b w:val="1"/>
          <w:bCs w:val="1"/>
          <w:i w:val="1"/>
          <w:iCs w:val="1"/>
          <w:color w:val="auto"/>
        </w:rPr>
        <w:t>We may require public stockholders who wish to redeem their shares of common stock in connection with a vote of stockholders on a proposed business combination to comply with specific requirements for redemption that may make it more difficult for them to exercise their redemption rights prior to the deadline for exercising their rights.</w:t>
      </w:r>
    </w:p>
    <w:p>
      <w:pPr>
        <w:spacing w:after="0" w:line="2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redeem his or her shares of common stock into a share of the trust account. We may require public stockholders seeking to redeem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322" w:lineRule="auto"/>
        <w:rPr>
          <w:sz w:val="20"/>
          <w:szCs w:val="20"/>
          <w:color w:val="auto"/>
        </w:rPr>
      </w:pPr>
      <w:r>
        <w:rPr>
          <w:rFonts w:ascii="Arial" w:cs="Arial" w:eastAsia="Arial" w:hAnsi="Arial"/>
          <w:sz w:val="15"/>
          <w:szCs w:val="15"/>
          <w:b w:val="1"/>
          <w:bCs w:val="1"/>
          <w:i w:val="1"/>
          <w:iCs w:val="1"/>
          <w:color w:val="auto"/>
        </w:rPr>
        <w:t>If we require public stockholders who wish to redeem their shares of common stock to comply with the delivery requirements discussed above for redemption, such redeeming stockholders may be unable to sell their securities when they wish to in the event that the proposed business combination is not approved.</w:t>
      </w:r>
    </w:p>
    <w:p>
      <w:pPr>
        <w:spacing w:after="0" w:line="4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we require public stockholders who wish to redeem their shares of common stock to comply with the delivery requirements discussed above for redemption and such proposed business combination is not consummated, we will promptly return such certificates to the tendering public stockholders. Accordingly, investors who attempted to redeem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redemption may be able to sell their securities.</w:t>
      </w:r>
    </w:p>
    <w:p>
      <w:pPr>
        <w:spacing w:after="0" w:line="194" w:lineRule="exact"/>
        <w:rPr>
          <w:sz w:val="20"/>
          <w:szCs w:val="20"/>
          <w:color w:val="auto"/>
        </w:rPr>
      </w:pPr>
    </w:p>
    <w:p>
      <w:pPr>
        <w:ind w:left="1260" w:right="1059"/>
        <w:spacing w:after="0" w:line="324" w:lineRule="auto"/>
        <w:rPr>
          <w:sz w:val="20"/>
          <w:szCs w:val="20"/>
          <w:color w:val="auto"/>
        </w:rPr>
      </w:pPr>
      <w:r>
        <w:rPr>
          <w:rFonts w:ascii="Arial" w:cs="Arial" w:eastAsia="Arial" w:hAnsi="Arial"/>
          <w:sz w:val="16"/>
          <w:szCs w:val="16"/>
          <w:b w:val="1"/>
          <w:bCs w:val="1"/>
          <w:i w:val="1"/>
          <w:iCs w:val="1"/>
          <w:color w:val="auto"/>
        </w:rPr>
        <w:t>Our outstanding rights and founder shares may have an adverse effect on the market price of our shares of common stock and make it more difficult to effectuate our initial business combination.</w:t>
      </w:r>
    </w:p>
    <w:p>
      <w:pPr>
        <w:spacing w:after="0" w:line="57"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will be issuing rights that will result in the issuance of up to 1,500,000 shares of common stock (or up to 1,725,000 shares if the underwriters’ over-allotment option is exercised in full) as part of the units offered by this prospectus and, simultaneously with the closing of this offering, we will be issuing private rights including an aggregate of 625,000 shares of common stock and rights to purchase 62,500 shares of common stock exercisable for $11.50 per share (or up to 692,500 shares of common stock and rights to purchase 69,250 shares if the underwriters’ over-allotment option is exercised in full). To the extent we issue shares of common stock to effectuate a business transaction, the potential for the issuance of a substantial number of additional shares of common stock upon exercise of the rights could make us a less attractive acquisition vehicle to a target business. Any such issuance will increase the number of issued and outstanding shares of common stock and reduce the value of the shares of common stock issued to complete the business transaction. Therefore, our rights and founder shares may make it more difficult to effectuate a business combination or increase the cost of acquiring the target business. If and to the extent the redeemable rights are exercised, you may experience dilution to your holdings.</w:t>
      </w:r>
    </w:p>
    <w:p>
      <w:pPr>
        <w:spacing w:after="0" w:line="180" w:lineRule="exact"/>
        <w:rPr>
          <w:sz w:val="20"/>
          <w:szCs w:val="20"/>
          <w:color w:val="auto"/>
        </w:rPr>
      </w:pPr>
    </w:p>
    <w:p>
      <w:pPr>
        <w:ind w:left="1260" w:right="679"/>
        <w:spacing w:after="0" w:line="324" w:lineRule="auto"/>
        <w:rPr>
          <w:sz w:val="20"/>
          <w:szCs w:val="20"/>
          <w:color w:val="auto"/>
        </w:rPr>
      </w:pPr>
      <w:r>
        <w:rPr>
          <w:rFonts w:ascii="Arial" w:cs="Arial" w:eastAsia="Arial" w:hAnsi="Arial"/>
          <w:sz w:val="16"/>
          <w:szCs w:val="16"/>
          <w:b w:val="1"/>
          <w:bCs w:val="1"/>
          <w:i w:val="1"/>
          <w:iCs w:val="1"/>
          <w:color w:val="auto"/>
        </w:rPr>
        <w:t>There are no authorities addressing the proper allocation of tax basis to the components of a unit, and therefore, investors may not appropriately allocate such basis for U.S. federal income tax purposes.</w:t>
      </w:r>
    </w:p>
    <w:p>
      <w:pPr>
        <w:spacing w:after="0" w:line="5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We intend to treat the acquisition of a unit, for U.S. federal income tax purposes, as the acquisition of one share of our common stock and one right to receive one-tenth (1/10) of one share of common stock, and, by purchasing a unit, you agree to adopt such treatment for U.S. federal income tax purposes. For U.S. federal income tax purposes, each holder of a unit must allocate the purchase price paid by such holder for such unit between the one share of our common stock and one right to receive one-tenth (1/10) of one share of common stock based on the relative fair market value of each at the time of issuance. The price allocated should be the stockholder’s tax basis in such share or rights, as the case may be. Any disposition of a unit should be treated for U.S. federal income tax purposes as a disposition of the share of our share of our common stock and one right to receive one-tenth (1/10) of one share of common stock comprising the unit, and the amount realized on the disposition should be allocated between the common stock and the rights based on their respective relative fair market values at the time of disposition. The foregoing treatment of the unit and a holder’s purchase price allocation are not binding on the Internal Revenue Service, or “IRS”, or the courts. The IRS or the courts may not agree with such characterization and investors could suffer adverse U.S. federal income tax consequences as a result. Accordingly, we urge each prospective investor to consult its own tax advisors regarding the tax consequences of an investment in a unit (including alternative characterizations of a unit).</w:t>
      </w:r>
    </w:p>
    <w:p>
      <w:pPr>
        <w:spacing w:after="0" w:line="190"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b w:val="1"/>
          <w:bCs w:val="1"/>
          <w:i w:val="1"/>
          <w:iCs w:val="1"/>
          <w:color w:val="auto"/>
        </w:rPr>
        <w:t>We may amend the terms of the rights in a way that may be adverse to holders with the approval by the holders of a majority of the then outstanding rights.</w:t>
      </w:r>
    </w:p>
    <w:p>
      <w:pPr>
        <w:spacing w:after="0" w:line="8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39"/>
        <w:spacing w:after="0" w:line="262" w:lineRule="auto"/>
        <w:rPr>
          <w:sz w:val="20"/>
          <w:szCs w:val="20"/>
          <w:color w:val="auto"/>
        </w:rPr>
      </w:pPr>
      <w:r>
        <w:rPr>
          <w:rFonts w:ascii="Arial" w:cs="Arial" w:eastAsia="Arial" w:hAnsi="Arial"/>
          <w:sz w:val="17"/>
          <w:szCs w:val="17"/>
          <w:color w:val="auto"/>
        </w:rPr>
        <w:t>provision. The rights agreement requires the approval by the holders of a majority of the then outstanding rights (including the private rights) in order to make any change that adversely affects the interests of the registered holders. Accordingly, we may amend the terms of the rights in a manner adverse to a holder if holders of at least a majority of the then outstanding public rights approve of such amendment.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Holders of rights will not have redemption rights.</w:t>
      </w:r>
    </w:p>
    <w:p>
      <w:pPr>
        <w:spacing w:after="0" w:line="144"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rights will expire and holders will not receive any of the amounts held in the trust account in exchange for such rights.</w:t>
      </w:r>
    </w:p>
    <w:p>
      <w:pPr>
        <w:spacing w:after="0" w:line="182" w:lineRule="exact"/>
        <w:rPr>
          <w:sz w:val="20"/>
          <w:szCs w:val="20"/>
          <w:color w:val="auto"/>
        </w:rPr>
      </w:pPr>
    </w:p>
    <w:p>
      <w:pPr>
        <w:ind w:left="1260" w:right="459"/>
        <w:spacing w:after="0" w:line="262" w:lineRule="auto"/>
        <w:rPr>
          <w:sz w:val="20"/>
          <w:szCs w:val="20"/>
          <w:color w:val="auto"/>
        </w:rPr>
      </w:pPr>
      <w:r>
        <w:rPr>
          <w:rFonts w:ascii="Arial" w:cs="Arial" w:eastAsia="Arial" w:hAnsi="Arial"/>
          <w:sz w:val="17"/>
          <w:szCs w:val="17"/>
          <w:b w:val="1"/>
          <w:bCs w:val="1"/>
          <w:i w:val="1"/>
          <w:iCs w:val="1"/>
          <w:color w:val="auto"/>
        </w:rPr>
        <w:t>Our rights agreement will designate the courts of the State of New York or the United States District Court for the Southern District of New York as the sole and exclusive forum for certain types of actions and proceedings that may be initiated by holders of our rights, which could limit the ability of rights holders to obtain a favorable judicial forum for disputes with our company.</w:t>
      </w:r>
    </w:p>
    <w:p>
      <w:pPr>
        <w:spacing w:after="0" w:line="105"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In addition, the rights agreement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Any person or entity purchasing or otherwise acquiring any interest in any of our rights shall be deemed to have notice of and to have consented to the forum provisions in our rights agreement. If any action, the subject matter of which is within the scope the forum provisions of the rights agreement, is filed in a court other than a court of the State of New York or the United States District Court for the Southern District of New York, or a foreign action, in the name of any holder of our rights,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proves made upon such</w:t>
      </w:r>
    </w:p>
    <w:p>
      <w:pPr>
        <w:ind w:left="1260" w:right="779"/>
        <w:spacing w:after="0" w:line="243" w:lineRule="auto"/>
        <w:rPr>
          <w:sz w:val="20"/>
          <w:szCs w:val="20"/>
          <w:color w:val="auto"/>
        </w:rPr>
      </w:pPr>
      <w:r>
        <w:rPr>
          <w:rFonts w:ascii="Arial" w:cs="Arial" w:eastAsia="Arial" w:hAnsi="Arial"/>
          <w:sz w:val="18"/>
          <w:szCs w:val="18"/>
          <w:color w:val="auto"/>
        </w:rPr>
        <w:t>rights holder in any such enforcement action by service upon such rights holder’s counsel in the foreign action as agent for such rights holder.</w:t>
      </w:r>
    </w:p>
    <w:p>
      <w:pPr>
        <w:spacing w:after="0" w:line="10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choice-of- forum provision may result in increased costs for investors to bring a claim. The choice-of-forum provision may limit a rights holder’s ability to bring a claim in a judicial forum that it finds favorable for disputes with our company, which may discourage such lawsuits.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6" w:lineRule="exact"/>
        <w:rPr>
          <w:sz w:val="20"/>
          <w:szCs w:val="20"/>
          <w:color w:val="auto"/>
        </w:rPr>
      </w:pPr>
    </w:p>
    <w:p>
      <w:pPr>
        <w:ind w:left="1260" w:right="679"/>
        <w:spacing w:after="0" w:line="324" w:lineRule="auto"/>
        <w:rPr>
          <w:sz w:val="20"/>
          <w:szCs w:val="20"/>
          <w:color w:val="auto"/>
        </w:rPr>
      </w:pPr>
      <w:r>
        <w:rPr>
          <w:rFonts w:ascii="Arial" w:cs="Arial" w:eastAsia="Arial" w:hAnsi="Arial"/>
          <w:sz w:val="16"/>
          <w:szCs w:val="16"/>
          <w:b w:val="1"/>
          <w:bCs w:val="1"/>
          <w:i w:val="1"/>
          <w:iCs w:val="1"/>
          <w:color w:val="auto"/>
        </w:rPr>
        <w:t>Redemptions of our common stock pursuant to the redemption provisions described in this prospectus could give rise to dividend income (rather than gain on a sale or exchange) in certain circumstances.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event that an investor’s common stock is redeemed pursuant to the redemption</w:t>
      </w:r>
    </w:p>
    <w:p>
      <w:pPr>
        <w:spacing w:after="0" w:line="12"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provisions described in this prospectus, the treatment of the transaction for U.S. federal income tax purposes will depend on whether the redemption qualifies as sale of the common stock or is instead treated as a dividend. Whether a</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redemption qualifies for sale treatment will depend largely on the total number of shares of our stock treated as held by the investor (including any stock constructively owned by the investor as a result of owning rights or by attribution) relative to all of our shares outstanding both before and after the redemption. If the redemption does not qualify for sale treatment, all or a portion of such redemption could be treated as a taxable dividend to the extent of our current or accumulated earnings and profits for tax purposes (which include earnings for the entire year of such payment, including after such payment is made). Amounts treated as dividends to non-U.S. investors may be subject to withholding tax. Certain non-corporate U.S. investors may be eligible for reduced rates of taxation upon dividends. The rules regarding the tax treatment of such redemptions are complex and will depend on each investor’s own circumstances. Each investor should consult with its own tax advisors as to the tax consequences of a redemption.</w:t>
      </w:r>
    </w:p>
    <w:p>
      <w:pPr>
        <w:spacing w:after="0" w:line="153" w:lineRule="exact"/>
        <w:rPr>
          <w:sz w:val="20"/>
          <w:szCs w:val="20"/>
          <w:color w:val="auto"/>
        </w:rPr>
      </w:pPr>
    </w:p>
    <w:p>
      <w:pPr>
        <w:ind w:left="1260" w:right="579"/>
        <w:spacing w:after="0" w:line="297"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56"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w:t>
      </w:r>
    </w:p>
    <w:p>
      <w:pPr>
        <w:spacing w:after="0" w:line="2" w:lineRule="exact"/>
        <w:rPr>
          <w:sz w:val="20"/>
          <w:szCs w:val="20"/>
          <w:color w:val="auto"/>
        </w:rPr>
      </w:pPr>
    </w:p>
    <w:p>
      <w:pPr>
        <w:ind w:left="1260" w:right="559"/>
        <w:spacing w:after="0" w:line="248" w:lineRule="auto"/>
        <w:tabs>
          <w:tab w:leader="none" w:pos="15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1" w:lineRule="exact"/>
        <w:rPr>
          <w:rFonts w:ascii="Arial" w:cs="Arial" w:eastAsia="Arial" w:hAnsi="Arial"/>
          <w:sz w:val="17"/>
          <w:szCs w:val="17"/>
          <w:color w:val="auto"/>
        </w:rPr>
      </w:pPr>
    </w:p>
    <w:p>
      <w:pPr>
        <w:ind w:left="1560" w:hanging="300"/>
        <w:spacing w:after="0" w:line="234" w:lineRule="auto"/>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w:t>
      </w:r>
    </w:p>
    <w:p>
      <w:pPr>
        <w:ind w:left="1260" w:right="439"/>
        <w:spacing w:after="0" w:line="251" w:lineRule="auto"/>
        <w:tabs>
          <w:tab w:leader="none" w:pos="15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5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OF ACQUIRING A BUSINESS OUTSIDE THE UNITED STATES</w:t>
      </w:r>
    </w:p>
    <w:p>
      <w:pPr>
        <w:spacing w:after="0" w:line="189" w:lineRule="exact"/>
        <w:rPr>
          <w:sz w:val="20"/>
          <w:szCs w:val="20"/>
          <w:color w:val="auto"/>
        </w:rPr>
      </w:pPr>
    </w:p>
    <w:p>
      <w:pPr>
        <w:ind w:left="1260" w:right="879"/>
        <w:spacing w:after="0" w:line="324" w:lineRule="auto"/>
        <w:rPr>
          <w:sz w:val="20"/>
          <w:szCs w:val="20"/>
          <w:color w:val="auto"/>
        </w:rPr>
      </w:pPr>
      <w:r>
        <w:rPr>
          <w:rFonts w:ascii="Arial" w:cs="Arial" w:eastAsia="Arial" w:hAnsi="Arial"/>
          <w:sz w:val="16"/>
          <w:szCs w:val="16"/>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30"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 of the United States.</w:t>
      </w:r>
    </w:p>
    <w:p>
      <w:pPr>
        <w:spacing w:after="0" w:line="189" w:lineRule="exact"/>
        <w:rPr>
          <w:sz w:val="20"/>
          <w:szCs w:val="20"/>
          <w:color w:val="auto"/>
        </w:rPr>
      </w:pPr>
    </w:p>
    <w:p>
      <w:pPr>
        <w:ind w:left="1260" w:right="519"/>
        <w:spacing w:after="0" w:line="286"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84"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92" w:lineRule="exact"/>
        <w:rPr>
          <w:sz w:val="20"/>
          <w:szCs w:val="20"/>
          <w:color w:val="auto"/>
        </w:rPr>
      </w:pPr>
    </w:p>
    <w:p>
      <w:pPr>
        <w:ind w:left="1260" w:right="799"/>
        <w:spacing w:after="0" w:line="327"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72"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2"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and currency policies may cause a target business’ ability to succeed in the international markets to be diminished.</w:t>
      </w:r>
    </w:p>
    <w:p>
      <w:pPr>
        <w:spacing w:after="0" w:line="89"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60" w:right="499"/>
        <w:spacing w:after="0" w:line="411"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28"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11"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$1.07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pacing w:after="0" w:line="125"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342" w:lineRule="auto"/>
        <w:rPr>
          <w:sz w:val="20"/>
          <w:szCs w:val="20"/>
          <w:color w:val="auto"/>
        </w:rPr>
      </w:pPr>
      <w:r>
        <w:rPr>
          <w:rFonts w:ascii="Arial" w:cs="Arial" w:eastAsia="Arial" w:hAnsi="Arial"/>
          <w:sz w:val="16"/>
          <w:szCs w:val="16"/>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43"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25"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ind w:left="1260" w:right="599"/>
        <w:spacing w:after="0" w:line="342" w:lineRule="auto"/>
        <w:rPr>
          <w:sz w:val="20"/>
          <w:szCs w:val="20"/>
          <w:color w:val="auto"/>
        </w:rPr>
      </w:pPr>
      <w:r>
        <w:rPr>
          <w:rFonts w:ascii="Arial" w:cs="Arial" w:eastAsia="Arial" w:hAnsi="Arial"/>
          <w:sz w:val="16"/>
          <w:szCs w:val="16"/>
          <w:b w:val="1"/>
          <w:bCs w:val="1"/>
          <w:i w:val="1"/>
          <w:iCs w:val="1"/>
          <w:color w:val="auto"/>
        </w:rPr>
        <w:t>Our search for a business combination, and any target business with which we ultimately consummate a business combination, may be materially adversely affected by the occurrence of a natural disaster.</w:t>
      </w:r>
    </w:p>
    <w:p>
      <w:pPr>
        <w:spacing w:after="0" w:line="56"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business could be adversely affected by severe weather conditions and natural disasters. Any of such occurrences could cause severe disruption to our daily operations, and may even require a temporary closure of our operations across one or more markets. Such closures may disrupt our business operations and adversely affect our business, financial condition and results of operations. Our operations could also be disrupted if our third-party service providers, business partners or acquisition targets were affected by such natural disasters. If the disruptions posed by such events continue for an extensive period of time, our ability to consummate a business combination, or the operations of a target business with which we ultimately consummate a business combination, may be materially adversely affected.</w:t>
      </w:r>
    </w:p>
    <w:p>
      <w:pPr>
        <w:spacing w:after="0" w:line="17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73"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are offering 15,000,000 units at an offering price of $10.00 per unit. We estimate that the net proceeds of this offering together with the funds we will receive from the sale of the private units will be used as set forth in the following table.</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Without</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Over-Allotment</w:t>
            </w:r>
          </w:p>
        </w:tc>
      </w:tr>
      <w:tr>
        <w:trPr>
          <w:trHeight w:val="162"/>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Option Fully</w:t>
            </w:r>
          </w:p>
        </w:tc>
      </w:tr>
      <w:tr>
        <w:trPr>
          <w:trHeight w:val="186"/>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Exercised</w:t>
            </w:r>
          </w:p>
        </w:tc>
      </w:tr>
      <w:tr>
        <w:trPr>
          <w:trHeight w:val="26"/>
        </w:trPr>
        <w:tc>
          <w:tcPr>
            <w:tcW w:w="5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proceeds</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Gross proceeds from units offered to public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172,500,000</w:t>
            </w: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private units offered in the private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6,925,000</w:t>
            </w: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Total gross proceeds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156,250,000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179,425,000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expenses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Underwriting commissions (2% of gross proceeds from units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6"/>
        </w:trPr>
        <w:tc>
          <w:tcPr>
            <w:tcW w:w="5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offered to public)</w:t>
            </w:r>
            <w:r>
              <w:rPr>
                <w:rFonts w:ascii="Arial" w:cs="Arial" w:eastAsia="Arial" w:hAnsi="Arial"/>
                <w:sz w:val="23"/>
                <w:szCs w:val="23"/>
                <w:color w:val="auto"/>
                <w:vertAlign w:val="superscript"/>
              </w:rPr>
              <w:t>(2)</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w:t>
            </w:r>
          </w:p>
        </w:tc>
      </w:tr>
      <w:tr>
        <w:trPr>
          <w:trHeight w:val="22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4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w:t>
            </w: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NYSE listing and filing fees</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4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57"/>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293,445</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293,445</w:t>
            </w: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7"/>
        </w:trPr>
        <w:tc>
          <w:tcPr>
            <w:tcW w:w="5260" w:type="dxa"/>
            <w:vAlign w:val="bottom"/>
            <w:gridSpan w:val="2"/>
          </w:tcPr>
          <w:p>
            <w:pPr>
              <w:spacing w:after="0"/>
              <w:rPr>
                <w:sz w:val="20"/>
                <w:szCs w:val="20"/>
                <w:color w:val="auto"/>
              </w:rPr>
            </w:pPr>
            <w:r>
              <w:rPr>
                <w:rFonts w:ascii="Arial" w:cs="Arial" w:eastAsia="Arial" w:hAnsi="Arial"/>
                <w:sz w:val="18"/>
                <w:szCs w:val="18"/>
                <w:color w:val="auto"/>
              </w:rPr>
              <w:t>Proceeds after offering expenses</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152,500,000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175,225,000</w:t>
            </w:r>
          </w:p>
        </w:tc>
      </w:tr>
      <w:tr>
        <w:trPr>
          <w:trHeight w:val="28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151,500,000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174,225,000</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Not held in trust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-685165</wp:posOffset>
            </wp:positionV>
            <wp:extent cx="41148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-1619885</wp:posOffset>
            </wp:positionV>
            <wp:extent cx="41148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-2862580</wp:posOffset>
            </wp:positionV>
            <wp:extent cx="41059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01"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6"/>
          <w:szCs w:val="26"/>
          <w:color w:val="auto"/>
          <w:vertAlign w:val="superscript"/>
        </w:rPr>
        <w:t>(4)</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 of Total</w:t>
            </w:r>
          </w:p>
        </w:tc>
      </w:tr>
      <w:tr>
        <w:trPr>
          <w:trHeight w:val="25"/>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360" w:type="dxa"/>
            <w:vAlign w:val="bottom"/>
          </w:tcPr>
          <w:p>
            <w:pPr>
              <w:spacing w:after="0"/>
              <w:rPr>
                <w:sz w:val="19"/>
                <w:szCs w:val="19"/>
                <w:color w:val="auto"/>
              </w:rPr>
            </w:pPr>
          </w:p>
        </w:tc>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Legal, accounting and other third-party expenses attendant to the search</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58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for target businesses and to the due diligence investigation, structuring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58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negotiation of our initial business combination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r>
      <w:tr>
        <w:trPr>
          <w:trHeight w:val="229"/>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including NYSE and other regulatory fees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360" w:type="dxa"/>
            <w:vAlign w:val="bottom"/>
          </w:tcPr>
          <w:p>
            <w:pPr>
              <w:spacing w:after="0"/>
              <w:rPr>
                <w:sz w:val="22"/>
                <w:szCs w:val="22"/>
                <w:color w:val="auto"/>
              </w:rPr>
            </w:pPr>
          </w:p>
        </w:tc>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2"/>
                <w:szCs w:val="22"/>
                <w:color w:val="auto"/>
              </w:rPr>
            </w:pPr>
          </w:p>
        </w:tc>
      </w:tr>
      <w:tr>
        <w:trPr>
          <w:trHeight w:val="229"/>
        </w:trPr>
        <w:tc>
          <w:tcPr>
            <w:tcW w:w="6160" w:type="dxa"/>
            <w:vAlign w:val="bottom"/>
            <w:gridSpan w:val="3"/>
          </w:tcPr>
          <w:p>
            <w:pPr>
              <w:ind w:left="360"/>
              <w:spacing w:after="0"/>
              <w:rPr>
                <w:sz w:val="20"/>
                <w:szCs w:val="20"/>
                <w:color w:val="auto"/>
              </w:rPr>
            </w:pPr>
            <w:r>
              <w:rPr>
                <w:rFonts w:ascii="Arial" w:cs="Arial" w:eastAsia="Arial" w:hAnsi="Arial"/>
                <w:sz w:val="18"/>
                <w:szCs w:val="18"/>
                <w:color w:val="auto"/>
                <w:w w:val="98"/>
              </w:rPr>
              <w:t>Consulting, travel and miscellaneous expenses incurred during search for</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initial business combination target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5.0%</w:t>
            </w:r>
          </w:p>
        </w:tc>
      </w:tr>
      <w:tr>
        <w:trPr>
          <w:trHeight w:val="290"/>
        </w:trPr>
        <w:tc>
          <w:tcPr>
            <w:tcW w:w="360" w:type="dxa"/>
            <w:vAlign w:val="bottom"/>
          </w:tcPr>
          <w:p>
            <w:pPr>
              <w:spacing w:after="0"/>
              <w:rPr>
                <w:sz w:val="24"/>
                <w:szCs w:val="24"/>
                <w:color w:val="auto"/>
              </w:rPr>
            </w:pPr>
          </w:p>
        </w:tc>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of administrative fee ($13,000 per month for 12 months)</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4"/>
                <w:szCs w:val="24"/>
                <w:color w:val="auto"/>
              </w:rPr>
            </w:pPr>
          </w:p>
        </w:tc>
      </w:tr>
      <w:tr>
        <w:trPr>
          <w:trHeight w:val="263"/>
        </w:trPr>
        <w:tc>
          <w:tcPr>
            <w:tcW w:w="360" w:type="dxa"/>
            <w:vAlign w:val="bottom"/>
          </w:tcPr>
          <w:p>
            <w:pPr>
              <w:spacing w:after="0"/>
              <w:rPr>
                <w:sz w:val="22"/>
                <w:szCs w:val="22"/>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Working capital to cover miscellaneous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94,000</w:t>
            </w:r>
          </w:p>
        </w:tc>
        <w:tc>
          <w:tcPr>
            <w:tcW w:w="340" w:type="dxa"/>
            <w:vAlign w:val="bottom"/>
            <w:gridSpan w:val="2"/>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7491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-1851025</wp:posOffset>
            </wp:positionV>
            <wp:extent cx="43376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28" w:lineRule="exact"/>
        <w:rPr>
          <w:sz w:val="20"/>
          <w:szCs w:val="20"/>
          <w:color w:val="auto"/>
        </w:rPr>
      </w:pPr>
    </w:p>
    <w:p>
      <w:pPr>
        <w:ind w:left="1620" w:right="459" w:hanging="360"/>
        <w:spacing w:after="0" w:line="255"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offering expenses relate to all expenses associated with the offering. However, a portion of the offering expenses, including the SEC registration fee, the FINRA filing fee, the non-refundable portion of the NYSE listing fee and a portion of the legal and audit fees, have already been paid from the funds we received as loans from our insiders described below. Therefore, these loans will be repaid using the proceeds of the offering since they were used to pay the offering costs described in the Use of Proceeds table.</w:t>
      </w:r>
    </w:p>
    <w:p>
      <w:pPr>
        <w:spacing w:after="0" w:line="57" w:lineRule="exact"/>
        <w:rPr>
          <w:rFonts w:ascii="Arial" w:cs="Arial" w:eastAsia="Arial" w:hAnsi="Arial"/>
          <w:sz w:val="18"/>
          <w:szCs w:val="18"/>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69"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funds held in the trust account will be used to acquire a target business, to pay holders who wish to convert or sell their shares for a portion of the funds held in the trust account and potentially to pay our expenses relating thereto, including an aggregate fee payable to EarlyBirdCapital equal to 3.5% of the gross proceeds raised in this offering upon consummation of our initial business combination for assisting us in connection with our initial business combination, as described under the section titled “Underwriting — Business Combination Marketing Agreement.”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pacing w:after="0" w:line="36" w:lineRule="exact"/>
        <w:rPr>
          <w:rFonts w:ascii="Arial" w:cs="Arial" w:eastAsia="Arial" w:hAnsi="Arial"/>
          <w:sz w:val="17"/>
          <w:szCs w:val="17"/>
          <w:color w:val="auto"/>
        </w:rPr>
      </w:pPr>
    </w:p>
    <w:p>
      <w:pPr>
        <w:ind w:left="1620" w:right="419" w:hanging="360"/>
        <w:spacing w:after="0" w:line="269"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36" w:lineRule="exact"/>
        <w:rPr>
          <w:rFonts w:ascii="Arial" w:cs="Arial" w:eastAsia="Arial" w:hAnsi="Arial"/>
          <w:sz w:val="17"/>
          <w:szCs w:val="17"/>
          <w:color w:val="auto"/>
        </w:rPr>
      </w:pPr>
    </w:p>
    <w:p>
      <w:pPr>
        <w:ind w:left="1620" w:right="419" w:hanging="360"/>
        <w:spacing w:after="0" w:line="26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we consummate an initial business combination within 12 months from the closing of this offering and excludes additional $78,000 fees if we extend the period of time to consummate a business combination to up to the maximum 18 months.</w:t>
      </w:r>
    </w:p>
    <w:p>
      <w:pPr>
        <w:spacing w:after="0" w:line="116"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sponsor has committed to purchase from us 625,000 private units (or 692,500 private units if the over-allotment option is exercised in full), at $10.00 per private unit for a total purchase price of $ 6,250,000 (or $6,925,000 if the over-allotment option is exercised in full). The private units will be sold in a private placement that will close simultaneously with the closing of this offering. Each private unit consists of one share of common and one rights to purchase one share of common stock at an exercise price of $11.50 per share.</w:t>
      </w:r>
    </w:p>
    <w:p>
      <w:pPr>
        <w:spacing w:after="0" w:line="10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Of the net proceeds of this offering and the sale of the private units, $151,500,000 (or $174,225,000 if the underwriters’ over-allotment option is exercised in full), will, upon the consummation of this offering, be placed in a trust account in the United States maintained by Continental Stock Transfer &amp; Trust Company, as trustee. The funds held in the trust account will be invested only in U.S. government treasury bills with a maturity of 185 days or less or in money market funds meeting certain conditions under</w:t>
      </w:r>
    </w:p>
    <w:p>
      <w:pPr>
        <w:spacing w:after="0" w:line="2"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Rule 2a-7 under the Investment Company Act and that invest only in direct U.S. government treasury obligations. Except with respect to interest earned on the funds held in the trust account that may be released to us to pay our income or other tax obligations,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redeeming stockholders. Any amounts not paid as consideration to the sellers of the target business may be used to finance operations of the target business.</w:t>
      </w:r>
    </w:p>
    <w:p>
      <w:pPr>
        <w:spacing w:after="0" w:line="12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We will be obligated, commencing on the date of this prospectus, to pay Fifth Partners, an affiliate of our sponsor and certain of our director nominees, a monthly fee of an aggregate of $13,000 for general and administrative services including office space, utilities and secretarial support. This arrangement will terminate upon completion of our initial business combination or the distribution of the trust account to our public stockholders.</w:t>
      </w:r>
    </w:p>
    <w:p>
      <w:pPr>
        <w:spacing w:after="0" w:line="122" w:lineRule="exact"/>
        <w:rPr>
          <w:sz w:val="20"/>
          <w:szCs w:val="20"/>
          <w:color w:val="auto"/>
        </w:rPr>
      </w:pPr>
    </w:p>
    <w:p>
      <w:pPr>
        <w:jc w:val="center"/>
        <w:ind w:left="1720" w:right="120"/>
        <w:spacing w:after="0" w:line="291" w:lineRule="auto"/>
        <w:rPr>
          <w:sz w:val="20"/>
          <w:szCs w:val="20"/>
          <w:color w:val="auto"/>
        </w:rPr>
      </w:pPr>
      <w:r>
        <w:rPr>
          <w:rFonts w:ascii="Arial" w:cs="Arial" w:eastAsia="Arial" w:hAnsi="Arial"/>
          <w:sz w:val="17"/>
          <w:szCs w:val="17"/>
          <w:color w:val="auto"/>
        </w:rPr>
        <w:t>In addition, Fifth Partners will be entitled to be reimbursed for any out-of-pocket expenses. Upon completion of our initial business combination or our liquidation, we will cease paying these monthly fees.</w:t>
      </w:r>
    </w:p>
    <w:p>
      <w:pPr>
        <w:spacing w:after="0" w:line="66"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Other than the above fees and the repayment of loans from our sponsor (none of which payments will be made from the proceeds of this offering held in the trust account prior to the completion of our initial business combination), no compensation of any kind (including finder’s, consulting or other similar fees) will</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3" w:lineRule="auto"/>
        <w:rPr>
          <w:sz w:val="20"/>
          <w:szCs w:val="20"/>
          <w:color w:val="auto"/>
        </w:rPr>
      </w:pPr>
      <w:r>
        <w:rPr>
          <w:rFonts w:ascii="Arial" w:cs="Arial" w:eastAsia="Arial" w:hAnsi="Arial"/>
          <w:sz w:val="17"/>
          <w:szCs w:val="17"/>
          <w:color w:val="auto"/>
        </w:rPr>
        <w:t>be paid to any of our existing officers, directors, shareholders, or any of their affiliates, prior to, or for any services they render in order to effectuate, the consummation of the business combination (regardless of the type of transaction that it is). However, such individuals will receive reimbursement for any out-of- 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a business combination is uncertain, we have no ability to determine what remuneration, if any, will be paid to those persons after a business combination. The net proceeds from this offering available to us out of trust for our working capital requirements in searching for our initial business combination will be approximately $1,000,000.</w:t>
      </w:r>
    </w:p>
    <w:p>
      <w:pPr>
        <w:spacing w:after="0" w:line="9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The allocation of the net proceeds available to us outside of the trust account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our insiders, members of our management team or third parties, but our insiders, members of our management team or third parties are not under any obligation to advance funds to, or invest in, us.</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will likely use substantially all of the net proceeds of this offering, including the funds held in the trust account, in connection with our initial business combination and to pay our expenses relating thereto, including the fees payable to EarlyBirdCapital under the Business Combination Marketing Agreement in an amount equal to 3.5% of the total gross proceeds raised in the offering upon consummation of our initial business combination. To the extent that our capital stock is used in whole or in part as consideration to effect a business combination, the proceeds held in the trust account which are not used to consummate a business combination, to pay holders who wish to convert their shares into a portion of the funds held in the trust account or pay our expenses relating thereto (which could include the fee payable to EarlyBirdCapital described above if the over-allotment option is exercised in full)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$100,000) and have agreed not to seek repayment of such expenses.</w:t>
      </w:r>
    </w:p>
    <w:p>
      <w:pPr>
        <w:spacing w:after="0" w:line="10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We believe that, upon consummation of this offering, we will have sufficient available funds to operate for up to the next 12 months (or up to 18 months from the closing of this offering if we extend the period of time to consummate a business combination), assuming that our initial business combination is not consummated during that time. However, if necessary, in order to meet our working capital needs following the consummation of this offering, our insiders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or their affiliates, will be repaid only from amounts remaining outside our trust account, if any.</w:t>
      </w:r>
    </w:p>
    <w:p>
      <w:pPr>
        <w:spacing w:after="0" w:line="113" w:lineRule="exact"/>
        <w:rPr>
          <w:sz w:val="20"/>
          <w:szCs w:val="20"/>
          <w:color w:val="auto"/>
        </w:rPr>
      </w:pPr>
    </w:p>
    <w:p>
      <w:pPr>
        <w:jc w:val="both"/>
        <w:ind w:left="1260" w:right="439" w:firstLine="360"/>
        <w:spacing w:after="0" w:line="26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or their respective affiliates may also purchase shares in privately negotiated transactions or in the open market either prior to or following the completion of our initial business combination. Please see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“Proposed Business — Permitted purchases of our securities” for a description of how such persons will determine which stockholders to seek to acquire shares from.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redeem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2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agreed to waive their redemption rights with respect to their founder shares, private shares and any public shares they may hold in connection with the completion of our initial business combination. In addition, our sponsor, officers and directors have agreed to waive their rights to liquidating distributions from the trust account with respect to their founder shares and private shares if we fail to complete our initial business combination within the prescribed time frame. However, if our sponsor or any of our officers, directors or affiliates acquire public shares in or after this offering, they will be entitled to liquidating distributions from the trust account with respect to such public shares if we fail to complete our initial business combination within the prescribed time 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Further, if we incur any indebtedness in connection with our initial business combination, our ability to declare dividends may be limited by restrictive covenants we may agree to in connection therewith. The payment of any dividends following to our initial business combination will be within the discretion of our board of directors at such time. While our board may pay dividends following the consummation of our initial business combination,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 of our issued and outstanding shares of our common stock upon the consummation of this offering (not including the private units and underlying securities and the representative founder shares and assuming they do not purchase units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difference between the public offering price per share of common stock, assuming no value is attributed to the rights included in the units we are offering pursuant to this prospectus or the private rights, and the pro forma net tangible book value per share of common stock after this offering constitutes the dilution to investors in this offering. Such calculation does not reflect any dilution associated with the sale and exercise of rights, including the private rights,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common stock which may be redeemed for cash), by the number of issued and outstanding shares of common stock.</w:t>
      </w:r>
    </w:p>
    <w:p>
      <w:pPr>
        <w:spacing w:after="0" w:line="129"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At October 13, 2021, our net tangible book value was a deficit of $33,485 or approximately $(0.01) per share of common stock. For purposes of the dilution calculation, in order to present the maximum estimated dilution as a result of this offering, we have assumed (i) the number of shares included in the units offered hereby will be deemed to be 16,500,000 (consisting of 15,000,000 shares included in the units we are offering by this prospectus and 1,500,000 shares for the outstanding rights), and the price per share in this offering will be deemed to be $10.00. After giving effect to the sale of 15,000,000 (or 17,250,000 if the underwriters exercise their over-allotment option in full) shares of common stock included in the units we are offering by this prospectus, the sale of the private units and the deduction of underwriting commissions and estimated expenses of this offering, our pro forma net tangible book value at October 13, 2021 would have been $1,024,915 or $0.17 per share (or $0.15 per share if the underwriters exercise their over-allotment option in full), representing an immediate increase in net tangible book value of $0.18 (or $0.16 if the underwriters exercise their over-allotment option in full) per share to our insiders and an immediate dilution of $8.92 (or $8.94if the underwriters exercise their over-allotment option in full) per share or 98.13% (or</w:t>
      </w:r>
    </w:p>
    <w:p>
      <w:pPr>
        <w:spacing w:after="0" w:line="6"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98.35% if the underwriters exercise their over-allotment option in full) to new investors not exercising their redemption rights. For purposes of presentation, we have reduced our pro forma net tangible book value after this offering (assuming no exercise of the underwriters’ over-allotment option) by $151,500,000 (or $174,225,000 assuming full exercise of the over-allotment option) because holders of up to approximately 100.0% of our public shares (or 100.0% assuming full exercise of the over-allotment option)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stockholders meeting, including interest (which interest shall be net of taxes payable) divided by the number of shares of common stock sold in this offering). The following table illustrates the dilution to the public stockholders on a per-share basis, assuming no value is attributed to the rights included in the units or the private rights included in the private units: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Without</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With Over-</w:t>
            </w:r>
          </w:p>
        </w:tc>
      </w:tr>
      <w:tr>
        <w:trPr>
          <w:trHeight w:val="162"/>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Over-</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Allotment</w:t>
            </w:r>
          </w:p>
        </w:tc>
      </w:tr>
      <w:tr>
        <w:trPr>
          <w:trHeight w:val="186"/>
        </w:trPr>
        <w:tc>
          <w:tcPr>
            <w:tcW w:w="5740" w:type="dxa"/>
            <w:vAlign w:val="bottom"/>
          </w:tcPr>
          <w:p>
            <w:pPr>
              <w:spacing w:after="0"/>
              <w:rPr>
                <w:sz w:val="16"/>
                <w:szCs w:val="16"/>
                <w:color w:val="auto"/>
              </w:rPr>
            </w:pP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14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r>
      <w:tr>
        <w:trPr>
          <w:trHeight w:val="25"/>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2"/>
                <w:szCs w:val="2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r>
      <w:tr>
        <w:trPr>
          <w:trHeight w:val="26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new investors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22"/>
                <w:szCs w:val="22"/>
                <w:color w:val="auto"/>
              </w:rPr>
            </w:pPr>
          </w:p>
        </w:tc>
      </w:tr>
      <w:tr>
        <w:trPr>
          <w:trHeight w:val="229"/>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net tangible book value after this offering and the sale of</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the units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20"/>
                <w:szCs w:val="20"/>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98.13%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98.35%</w:t>
            </w:r>
          </w:p>
        </w:tc>
      </w:tr>
      <w:tr>
        <w:trPr>
          <w:trHeight w:val="21"/>
        </w:trPr>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7491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-1233805</wp:posOffset>
            </wp:positionV>
            <wp:extent cx="42945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1"/>
              </w:rPr>
              <w:t>Without Over-allotment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36"/>
        </w:trPr>
        <w:tc>
          <w:tcPr>
            <w:tcW w:w="19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6"/>
        </w:trPr>
        <w:tc>
          <w:tcPr>
            <w:tcW w:w="1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9"/>
                <w:szCs w:val="9"/>
                <w:color w:val="auto"/>
              </w:rPr>
            </w:pPr>
          </w:p>
        </w:tc>
        <w:tc>
          <w:tcPr>
            <w:tcW w:w="20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center"/>
              <w:ind w:right="58"/>
              <w:spacing w:after="0" w:line="125"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8"/>
                <w:szCs w:val="18"/>
                <w:color w:val="auto"/>
              </w:rPr>
            </w:pPr>
          </w:p>
        </w:tc>
        <w:tc>
          <w:tcPr>
            <w:tcW w:w="48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Founder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3,750,000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0.0067</w:t>
            </w:r>
          </w:p>
        </w:tc>
        <w:tc>
          <w:tcPr>
            <w:tcW w:w="0" w:type="dxa"/>
            <w:vAlign w:val="bottom"/>
          </w:tcPr>
          <w:p>
            <w:pPr>
              <w:spacing w:after="0"/>
              <w:rPr>
                <w:sz w:val="1"/>
                <w:szCs w:val="1"/>
                <w:color w:val="auto"/>
              </w:rPr>
            </w:pPr>
          </w:p>
        </w:tc>
      </w:tr>
      <w:tr>
        <w:trPr>
          <w:trHeight w:val="256"/>
        </w:trPr>
        <w:tc>
          <w:tcPr>
            <w:tcW w:w="3580" w:type="dxa"/>
            <w:vAlign w:val="bottom"/>
            <w:gridSpan w:val="2"/>
          </w:tcPr>
          <w:p>
            <w:pPr>
              <w:spacing w:after="0"/>
              <w:rPr>
                <w:sz w:val="20"/>
                <w:szCs w:val="20"/>
                <w:color w:val="auto"/>
              </w:rPr>
            </w:pPr>
            <w:r>
              <w:rPr>
                <w:rFonts w:ascii="Arial" w:cs="Arial" w:eastAsia="Arial" w:hAnsi="Arial"/>
                <w:sz w:val="18"/>
                <w:szCs w:val="18"/>
                <w:color w:val="auto"/>
              </w:rPr>
              <w:t>Shares underlying private placement units</w:t>
            </w:r>
          </w:p>
        </w:tc>
        <w:tc>
          <w:tcPr>
            <w:tcW w:w="10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687,500</w:t>
            </w:r>
            <w:r>
              <w:rPr>
                <w:rFonts w:ascii="Arial" w:cs="Arial" w:eastAsia="Arial" w:hAnsi="Arial"/>
                <w:sz w:val="26"/>
                <w:szCs w:val="26"/>
                <w:color w:val="auto"/>
                <w:vertAlign w:val="superscript"/>
              </w:rPr>
              <w:t>(2)</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6,250,000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57"/>
        </w:trPr>
        <w:tc>
          <w:tcPr>
            <w:tcW w:w="3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Representative founder shares</w:t>
            </w:r>
          </w:p>
        </w:tc>
        <w:tc>
          <w:tcPr>
            <w:tcW w:w="10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150,000</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8"/>
                <w:szCs w:val="18"/>
                <w:color w:val="auto"/>
              </w:rPr>
              <w:t>Public stockholders</w:t>
            </w:r>
          </w:p>
        </w:tc>
        <w:tc>
          <w:tcPr>
            <w:tcW w:w="1020" w:type="dxa"/>
            <w:vAlign w:val="bottom"/>
            <w:gridSpan w:val="2"/>
          </w:tcPr>
          <w:p>
            <w:pPr>
              <w:jc w:val="right"/>
              <w:spacing w:after="0" w:line="270" w:lineRule="exact"/>
              <w:rPr>
                <w:sz w:val="20"/>
                <w:szCs w:val="20"/>
                <w:color w:val="auto"/>
              </w:rPr>
            </w:pPr>
            <w:r>
              <w:rPr>
                <w:rFonts w:ascii="Arial" w:cs="Arial" w:eastAsia="Arial" w:hAnsi="Arial"/>
                <w:sz w:val="18"/>
                <w:szCs w:val="18"/>
                <w:color w:val="auto"/>
                <w:w w:val="84"/>
              </w:rPr>
              <w:t>16,500,000</w:t>
            </w:r>
            <w:r>
              <w:rPr>
                <w:rFonts w:ascii="Arial" w:cs="Arial" w:eastAsia="Arial" w:hAnsi="Arial"/>
                <w:sz w:val="26"/>
                <w:szCs w:val="26"/>
                <w:color w:val="auto"/>
                <w:w w:val="84"/>
                <w:vertAlign w:val="superscript"/>
              </w:rPr>
              <w:t>(3)</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78.25%</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150,000,000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95.98%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40" w:type="dxa"/>
            <w:vAlign w:val="bottom"/>
            <w:shd w:val="clear" w:color="auto" w:fill="CCEEFF"/>
          </w:tcPr>
          <w:p>
            <w:pPr>
              <w:spacing w:after="0"/>
              <w:rPr>
                <w:sz w:val="24"/>
                <w:szCs w:val="24"/>
                <w:color w:val="auto"/>
              </w:rPr>
            </w:pPr>
          </w:p>
        </w:tc>
        <w:tc>
          <w:tcPr>
            <w:tcW w:w="1640" w:type="dxa"/>
            <w:vAlign w:val="bottom"/>
            <w:tcBorders>
              <w:right w:val="single" w:sz="8" w:color="CCEEFF"/>
            </w:tcBorders>
            <w:shd w:val="clear" w:color="auto" w:fill="CCEEFF"/>
          </w:tcPr>
          <w:p>
            <w:pPr>
              <w:spacing w:after="0"/>
              <w:rPr>
                <w:sz w:val="24"/>
                <w:szCs w:val="24"/>
                <w:color w:val="auto"/>
              </w:rPr>
            </w:pPr>
          </w:p>
        </w:tc>
        <w:tc>
          <w:tcPr>
            <w:tcW w:w="10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86"/>
              </w:rPr>
              <w:t>21,087,500</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156,275,015</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-290830</wp:posOffset>
            </wp:positionV>
            <wp:extent cx="5740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-290830</wp:posOffset>
            </wp:positionV>
            <wp:extent cx="188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-290830</wp:posOffset>
            </wp:positionV>
            <wp:extent cx="231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30086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0863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-959485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-959485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2922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-959485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Assumes over-allotment is not exercised and the forfeiture of an aggregate of 562,500 founder shares.</w:t>
      </w:r>
    </w:p>
    <w:p>
      <w:pPr>
        <w:spacing w:after="0" w:line="101" w:lineRule="exact"/>
        <w:rPr>
          <w:rFonts w:ascii="Arial" w:cs="Arial" w:eastAsia="Arial" w:hAnsi="Arial"/>
          <w:sz w:val="17"/>
          <w:szCs w:val="17"/>
          <w:color w:val="auto"/>
        </w:rPr>
      </w:pPr>
    </w:p>
    <w:p>
      <w:pPr>
        <w:ind w:left="1620" w:right="879" w:hanging="36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issuance of an additional 62,500 shares underlying the rights contained in the private shares</w:t>
      </w:r>
    </w:p>
    <w:p>
      <w:pPr>
        <w:spacing w:after="0" w:line="21" w:lineRule="exact"/>
        <w:rPr>
          <w:rFonts w:ascii="Arial" w:cs="Arial" w:eastAsia="Arial" w:hAnsi="Arial"/>
          <w:sz w:val="18"/>
          <w:szCs w:val="18"/>
          <w:color w:val="auto"/>
        </w:rPr>
      </w:pPr>
    </w:p>
    <w:p>
      <w:pPr>
        <w:ind w:left="1620" w:right="699" w:hanging="36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issuance of an additional 1,500,000 shares underlying the rights contained in the public shares</w:t>
      </w:r>
    </w:p>
    <w:p>
      <w:pPr>
        <w:spacing w:after="0" w:line="103"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Without</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Over-Allotment</w:t>
            </w:r>
          </w:p>
        </w:tc>
      </w:tr>
      <w:tr>
        <w:trPr>
          <w:trHeight w:val="212"/>
        </w:trPr>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Over-Allotment</w:t>
            </w:r>
            <w:r>
              <w:rPr>
                <w:rFonts w:ascii="Arial" w:cs="Arial" w:eastAsia="Arial" w:hAnsi="Arial"/>
                <w:sz w:val="17"/>
                <w:szCs w:val="17"/>
                <w:b w:val="1"/>
                <w:bCs w:val="1"/>
                <w:color w:val="auto"/>
                <w:w w:val="90"/>
                <w:vertAlign w:val="superscript"/>
              </w:rPr>
              <w:t>(1)</w:t>
            </w:r>
          </w:p>
        </w:tc>
        <w:tc>
          <w:tcPr>
            <w:tcW w:w="2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r>
      <w:tr>
        <w:trPr>
          <w:trHeight w:val="250"/>
        </w:trPr>
        <w:tc>
          <w:tcPr>
            <w:tcW w:w="360" w:type="dxa"/>
            <w:vAlign w:val="bottom"/>
          </w:tcPr>
          <w:p>
            <w:pPr>
              <w:spacing w:after="0"/>
              <w:rPr>
                <w:sz w:val="21"/>
                <w:szCs w:val="21"/>
                <w:color w:val="auto"/>
              </w:rPr>
            </w:pPr>
          </w:p>
        </w:tc>
        <w:tc>
          <w:tcPr>
            <w:tcW w:w="5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Net tangible book value before the offering</w:t>
            </w:r>
          </w:p>
        </w:tc>
        <w:tc>
          <w:tcPr>
            <w:tcW w:w="1480" w:type="dxa"/>
            <w:vAlign w:val="bottom"/>
            <w:gridSpan w:val="5"/>
          </w:tcPr>
          <w:p>
            <w:pPr>
              <w:jc w:val="right"/>
              <w:ind w:right="220"/>
              <w:spacing w:after="0"/>
              <w:rPr>
                <w:sz w:val="20"/>
                <w:szCs w:val="20"/>
                <w:color w:val="auto"/>
              </w:rPr>
            </w:pPr>
            <w:r>
              <w:rPr>
                <w:rFonts w:ascii="Arial" w:cs="Arial" w:eastAsia="Arial" w:hAnsi="Arial"/>
                <w:sz w:val="18"/>
                <w:szCs w:val="18"/>
                <w:color w:val="auto"/>
              </w:rPr>
              <w:t>(33,485)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(33,485)</w:t>
            </w:r>
          </w:p>
        </w:tc>
      </w:tr>
      <w:tr>
        <w:trPr>
          <w:trHeight w:val="229"/>
        </w:trPr>
        <w:tc>
          <w:tcPr>
            <w:tcW w:w="36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this offering and private placement of</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360" w:type="dxa"/>
            <w:vAlign w:val="bottom"/>
          </w:tcPr>
          <w:p>
            <w:pPr>
              <w:spacing w:after="0"/>
              <w:rPr>
                <w:sz w:val="21"/>
                <w:szCs w:val="21"/>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units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152,500,000</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175,225,000</w:t>
            </w:r>
          </w:p>
        </w:tc>
        <w:tc>
          <w:tcPr>
            <w:tcW w:w="60" w:type="dxa"/>
            <w:vAlign w:val="bottom"/>
          </w:tcPr>
          <w:p>
            <w:pPr>
              <w:spacing w:after="0"/>
              <w:rPr>
                <w:sz w:val="21"/>
                <w:szCs w:val="21"/>
                <w:color w:val="auto"/>
              </w:rPr>
            </w:pPr>
          </w:p>
        </w:tc>
      </w:tr>
      <w:tr>
        <w:trPr>
          <w:trHeight w:val="256"/>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Plus: Offering costs accrued for and paid in advance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58,400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58,400</w:t>
            </w:r>
          </w:p>
        </w:tc>
        <w:tc>
          <w:tcPr>
            <w:tcW w:w="60" w:type="dxa"/>
            <w:vAlign w:val="bottom"/>
          </w:tcPr>
          <w:p>
            <w:pPr>
              <w:spacing w:after="0"/>
              <w:rPr>
                <w:sz w:val="22"/>
                <w:szCs w:val="22"/>
                <w:color w:val="auto"/>
              </w:rPr>
            </w:pPr>
          </w:p>
        </w:tc>
      </w:tr>
      <w:tr>
        <w:trPr>
          <w:trHeight w:val="229"/>
        </w:trPr>
        <w:tc>
          <w:tcPr>
            <w:tcW w:w="36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Proceeds held in the trust account subject to redemption/</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360" w:type="dxa"/>
            <w:vAlign w:val="bottom"/>
          </w:tcPr>
          <w:p>
            <w:pPr>
              <w:spacing w:after="0"/>
              <w:rPr>
                <w:sz w:val="22"/>
                <w:szCs w:val="22"/>
                <w:color w:val="auto"/>
              </w:rPr>
            </w:pPr>
          </w:p>
        </w:tc>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tender</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(151,500,000)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(174,225,000)</w:t>
            </w:r>
          </w:p>
        </w:tc>
        <w:tc>
          <w:tcPr>
            <w:tcW w:w="6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1580" w:type="dxa"/>
            <w:vAlign w:val="bottom"/>
            <w:tcBorders>
              <w:top w:val="single" w:sz="8" w:color="CCEEFF"/>
            </w:tcBorders>
          </w:tcPr>
          <w:p>
            <w:pPr>
              <w:spacing w:after="0"/>
              <w:rPr>
                <w:sz w:val="22"/>
                <w:szCs w:val="22"/>
                <w:color w:val="auto"/>
              </w:rPr>
            </w:pPr>
          </w:p>
        </w:tc>
        <w:tc>
          <w:tcPr>
            <w:tcW w:w="34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gridSpan w:val="2"/>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1,024,915</w:t>
            </w:r>
          </w:p>
        </w:tc>
        <w:tc>
          <w:tcPr>
            <w:tcW w:w="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1,024,915</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Shares of common stock outstanding prior to this offering</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4,312,500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4,312,500</w:t>
            </w:r>
          </w:p>
        </w:tc>
        <w:tc>
          <w:tcPr>
            <w:tcW w:w="60" w:type="dxa"/>
            <w:vAlign w:val="bottom"/>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Shares forfeited</w:t>
            </w:r>
          </w:p>
        </w:tc>
        <w:tc>
          <w:tcPr>
            <w:tcW w:w="14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(562,500)</w:t>
            </w: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7"/>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Shares of common stock to be sold in this offering</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17,250,000</w:t>
            </w:r>
          </w:p>
        </w:tc>
        <w:tc>
          <w:tcPr>
            <w:tcW w:w="60" w:type="dxa"/>
            <w:vAlign w:val="bottom"/>
          </w:tcPr>
          <w:p>
            <w:pPr>
              <w:spacing w:after="0"/>
              <w:rPr>
                <w:sz w:val="22"/>
                <w:szCs w:val="22"/>
                <w:color w:val="auto"/>
              </w:rPr>
            </w:pPr>
          </w:p>
        </w:tc>
      </w:tr>
      <w:tr>
        <w:trPr>
          <w:trHeight w:val="229"/>
        </w:trPr>
        <w:tc>
          <w:tcPr>
            <w:tcW w:w="36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underlying rights included in the units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360" w:type="dxa"/>
            <w:vAlign w:val="bottom"/>
          </w:tcPr>
          <w:p>
            <w:pPr>
              <w:spacing w:after="0"/>
              <w:rPr>
                <w:sz w:val="21"/>
                <w:szCs w:val="21"/>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offered</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60" w:type="dxa"/>
            <w:vAlign w:val="bottom"/>
          </w:tcPr>
          <w:p>
            <w:pPr>
              <w:spacing w:after="0"/>
              <w:rPr>
                <w:sz w:val="21"/>
                <w:szCs w:val="21"/>
                <w:color w:val="auto"/>
              </w:rPr>
            </w:pPr>
          </w:p>
        </w:tc>
      </w:tr>
      <w:tr>
        <w:trPr>
          <w:trHeight w:val="270"/>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Shares of common stock included in the private units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625,000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692,500</w:t>
            </w:r>
          </w:p>
        </w:tc>
        <w:tc>
          <w:tcPr>
            <w:tcW w:w="60" w:type="dxa"/>
            <w:vAlign w:val="bottom"/>
          </w:tcPr>
          <w:p>
            <w:pPr>
              <w:spacing w:after="0"/>
              <w:rPr>
                <w:sz w:val="23"/>
                <w:szCs w:val="23"/>
                <w:color w:val="auto"/>
              </w:rPr>
            </w:pPr>
          </w:p>
        </w:tc>
      </w:tr>
      <w:tr>
        <w:trPr>
          <w:trHeight w:val="242"/>
        </w:trPr>
        <w:tc>
          <w:tcPr>
            <w:tcW w:w="360" w:type="dxa"/>
            <w:vAlign w:val="bottom"/>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of common stock underlying rights included in the private</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60" w:type="dxa"/>
            <w:vAlign w:val="bottom"/>
          </w:tcPr>
          <w:p>
            <w:pPr>
              <w:spacing w:after="0"/>
              <w:rPr>
                <w:sz w:val="21"/>
                <w:szCs w:val="21"/>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placement units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69,250</w:t>
            </w:r>
          </w:p>
        </w:tc>
        <w:tc>
          <w:tcPr>
            <w:tcW w:w="60" w:type="dxa"/>
            <w:vAlign w:val="bottom"/>
          </w:tcPr>
          <w:p>
            <w:pPr>
              <w:spacing w:after="0"/>
              <w:rPr>
                <w:sz w:val="21"/>
                <w:szCs w:val="21"/>
                <w:color w:val="auto"/>
              </w:rPr>
            </w:pPr>
          </w:p>
        </w:tc>
      </w:tr>
      <w:tr>
        <w:trPr>
          <w:trHeight w:val="270"/>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Representative founder shares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23"/>
                <w:szCs w:val="23"/>
                <w:color w:val="auto"/>
              </w:rPr>
            </w:pPr>
          </w:p>
        </w:tc>
      </w:tr>
      <w:tr>
        <w:trPr>
          <w:trHeight w:val="277"/>
        </w:trPr>
        <w:tc>
          <w:tcPr>
            <w:tcW w:w="360" w:type="dxa"/>
            <w:vAlign w:val="bottom"/>
          </w:tcPr>
          <w:p>
            <w:pPr>
              <w:spacing w:after="0"/>
              <w:rPr>
                <w:sz w:val="24"/>
                <w:szCs w:val="24"/>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Shares subject to redemption/tender</w:t>
            </w:r>
          </w:p>
        </w:tc>
        <w:tc>
          <w:tcPr>
            <w:tcW w:w="240" w:type="dxa"/>
            <w:vAlign w:val="bottom"/>
            <w:gridSpan w:val="2"/>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(15,000,000)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(17,250,000)</w:t>
            </w:r>
          </w:p>
        </w:tc>
        <w:tc>
          <w:tcPr>
            <w:tcW w:w="60" w:type="dxa"/>
            <w:vAlign w:val="bottom"/>
          </w:tcPr>
          <w:p>
            <w:pPr>
              <w:spacing w:after="0"/>
              <w:rPr>
                <w:sz w:val="24"/>
                <w:szCs w:val="24"/>
                <w:color w:val="auto"/>
              </w:rPr>
            </w:pPr>
          </w:p>
        </w:tc>
      </w:tr>
      <w:tr>
        <w:trPr>
          <w:trHeight w:val="277"/>
        </w:trPr>
        <w:tc>
          <w:tcPr>
            <w:tcW w:w="360" w:type="dxa"/>
            <w:vAlign w:val="bottom"/>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gridSpan w:val="2"/>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6,087,500</w:t>
            </w: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6,949,250</w:t>
            </w:r>
          </w:p>
        </w:tc>
        <w:tc>
          <w:tcPr>
            <w:tcW w:w="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-3376930</wp:posOffset>
            </wp:positionV>
            <wp:extent cx="41230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Reflects the forfeiture of an aggregate of 562,500 founder shares.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following table sets forth our capitalization at October 13, 2021 and as adjusted to give effect to the sale of our 15,000,000 units in this offering for $150,000,000 (or $10.00 per unit) and the sale 625,000 private units for $6,250,000 (or $10.00 per private unit) and the application of the estimated net proceeds derived from the sale of such securities: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4"/>
          </w:tcPr>
          <w:p>
            <w:pPr>
              <w:ind w:left="400"/>
              <w:spacing w:after="0"/>
              <w:rPr>
                <w:sz w:val="20"/>
                <w:szCs w:val="20"/>
                <w:color w:val="auto"/>
              </w:rPr>
            </w:pPr>
            <w:r>
              <w:rPr>
                <w:rFonts w:ascii="Arial" w:cs="Arial" w:eastAsia="Arial" w:hAnsi="Arial"/>
                <w:sz w:val="14"/>
                <w:szCs w:val="14"/>
                <w:b w:val="1"/>
                <w:bCs w:val="1"/>
                <w:color w:val="auto"/>
              </w:rPr>
              <w:t>October 13, 2021</w:t>
            </w: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7"/>
                <w:szCs w:val="17"/>
                <w:b w:val="1"/>
                <w:bCs w:val="1"/>
                <w:color w:val="auto"/>
                <w:vertAlign w:val="superscript"/>
              </w:rPr>
              <w:t>(1)</w:t>
            </w:r>
          </w:p>
        </w:tc>
      </w:tr>
      <w:tr>
        <w:trPr>
          <w:trHeight w:val="290"/>
        </w:trPr>
        <w:tc>
          <w:tcPr>
            <w:tcW w:w="360" w:type="dxa"/>
            <w:vAlign w:val="bottom"/>
          </w:tcPr>
          <w:p>
            <w:pPr>
              <w:spacing w:after="0"/>
              <w:rPr>
                <w:sz w:val="24"/>
                <w:szCs w:val="24"/>
                <w:color w:val="auto"/>
              </w:rPr>
            </w:pPr>
          </w:p>
        </w:tc>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w:t>
            </w:r>
            <w:r>
              <w:rPr>
                <w:rFonts w:ascii="Arial" w:cs="Arial" w:eastAsia="Arial" w:hAnsi="Arial"/>
                <w:sz w:val="23"/>
                <w:szCs w:val="23"/>
                <w:color w:val="auto"/>
                <w:vertAlign w:val="superscript"/>
              </w:rPr>
              <w:t>(2)</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22"/>
        </w:trPr>
        <w:tc>
          <w:tcPr>
            <w:tcW w:w="6020" w:type="dxa"/>
            <w:vAlign w:val="bottom"/>
            <w:gridSpan w:val="5"/>
          </w:tcPr>
          <w:p>
            <w:pPr>
              <w:ind w:left="360"/>
              <w:spacing w:after="0"/>
              <w:rPr>
                <w:sz w:val="20"/>
                <w:szCs w:val="20"/>
                <w:color w:val="auto"/>
              </w:rPr>
            </w:pPr>
            <w:r>
              <w:rPr>
                <w:rFonts w:ascii="Arial" w:cs="Arial" w:eastAsia="Arial" w:hAnsi="Arial"/>
                <w:sz w:val="18"/>
                <w:szCs w:val="18"/>
                <w:color w:val="auto"/>
                <w:w w:val="99"/>
              </w:rPr>
              <w:t>Common stock, $0.0001 par value; 0 and 15,000,000 shares which are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5660" w:type="dxa"/>
            <w:vAlign w:val="bottom"/>
            <w:gridSpan w:val="4"/>
          </w:tcPr>
          <w:p>
            <w:pPr>
              <w:ind w:left="180"/>
              <w:spacing w:after="0"/>
              <w:rPr>
                <w:sz w:val="20"/>
                <w:szCs w:val="20"/>
                <w:color w:val="auto"/>
              </w:rPr>
            </w:pPr>
            <w:r>
              <w:rPr>
                <w:rFonts w:ascii="Arial" w:cs="Arial" w:eastAsia="Arial" w:hAnsi="Arial"/>
                <w:sz w:val="18"/>
                <w:szCs w:val="18"/>
                <w:color w:val="auto"/>
              </w:rPr>
              <w:t>subject to redemption/tender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151,500,000</w:t>
            </w:r>
          </w:p>
        </w:tc>
        <w:tc>
          <w:tcPr>
            <w:tcW w:w="60" w:type="dxa"/>
            <w:vAlign w:val="bottom"/>
          </w:tcPr>
          <w:p>
            <w:pPr>
              <w:spacing w:after="0"/>
              <w:rPr>
                <w:sz w:val="20"/>
                <w:szCs w:val="20"/>
                <w:color w:val="auto"/>
              </w:rPr>
            </w:pPr>
          </w:p>
        </w:tc>
      </w:tr>
      <w:tr>
        <w:trPr>
          <w:trHeight w:val="27"/>
        </w:trPr>
        <w:tc>
          <w:tcPr>
            <w:tcW w:w="1940" w:type="dxa"/>
            <w:vAlign w:val="bottom"/>
            <w:gridSpan w:val="2"/>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6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6020" w:type="dxa"/>
            <w:vAlign w:val="bottom"/>
            <w:gridSpan w:val="5"/>
          </w:tcPr>
          <w:p>
            <w:pPr>
              <w:ind w:left="360"/>
              <w:spacing w:after="0"/>
              <w:rPr>
                <w:sz w:val="20"/>
                <w:szCs w:val="20"/>
                <w:color w:val="auto"/>
              </w:rPr>
            </w:pPr>
            <w:r>
              <w:rPr>
                <w:rFonts w:ascii="Arial" w:cs="Arial" w:eastAsia="Arial" w:hAnsi="Arial"/>
                <w:sz w:val="18"/>
                <w:szCs w:val="18"/>
                <w:color w:val="auto"/>
                <w:w w:val="99"/>
              </w:rPr>
              <w:t>Preference shares, $0.0001 par value, 1,000,000 shares authorized; no</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5660" w:type="dxa"/>
            <w:vAlign w:val="bottom"/>
            <w:gridSpan w:val="4"/>
          </w:tcPr>
          <w:p>
            <w:pPr>
              <w:ind w:left="180"/>
              <w:spacing w:after="0"/>
              <w:rPr>
                <w:sz w:val="20"/>
                <w:szCs w:val="20"/>
                <w:color w:val="auto"/>
              </w:rPr>
            </w:pPr>
            <w:r>
              <w:rPr>
                <w:rFonts w:ascii="Arial" w:cs="Arial" w:eastAsia="Arial" w:hAnsi="Arial"/>
                <w:sz w:val="18"/>
                <w:szCs w:val="18"/>
                <w:color w:val="auto"/>
              </w:rPr>
              <w:t>shares issued or issued and outstanding (actual and as adjusted)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7"/>
        </w:trPr>
        <w:tc>
          <w:tcPr>
            <w:tcW w:w="36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of common stock, $0.0001 par value, 100,000,000 shares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60" w:type="dxa"/>
            <w:vAlign w:val="bottom"/>
          </w:tcPr>
          <w:p>
            <w:pPr>
              <w:spacing w:after="0"/>
              <w:rPr>
                <w:sz w:val="19"/>
                <w:szCs w:val="19"/>
                <w:color w:val="auto"/>
              </w:rPr>
            </w:pPr>
          </w:p>
        </w:tc>
        <w:tc>
          <w:tcPr>
            <w:tcW w:w="5660" w:type="dxa"/>
            <w:vAlign w:val="bottom"/>
            <w:gridSpan w:val="4"/>
            <w:shd w:val="clear" w:color="auto" w:fill="CCEEFF"/>
          </w:tcPr>
          <w:p>
            <w:pPr>
              <w:ind w:left="180"/>
              <w:spacing w:after="0" w:line="230" w:lineRule="exact"/>
              <w:rPr>
                <w:sz w:val="20"/>
                <w:szCs w:val="20"/>
                <w:color w:val="auto"/>
              </w:rPr>
            </w:pPr>
            <w:r>
              <w:rPr>
                <w:rFonts w:ascii="Arial" w:cs="Arial" w:eastAsia="Arial" w:hAnsi="Arial"/>
                <w:sz w:val="18"/>
                <w:szCs w:val="18"/>
                <w:color w:val="auto"/>
              </w:rPr>
              <w:t>authorized; 4,462,500</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shares issued and outstanding (actual);</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360" w:type="dxa"/>
            <w:vAlign w:val="bottom"/>
          </w:tcPr>
          <w:p>
            <w:pPr>
              <w:spacing w:after="0"/>
              <w:rPr>
                <w:sz w:val="21"/>
                <w:szCs w:val="21"/>
                <w:color w:val="auto"/>
              </w:rPr>
            </w:pPr>
          </w:p>
        </w:tc>
        <w:tc>
          <w:tcPr>
            <w:tcW w:w="5660" w:type="dxa"/>
            <w:vAlign w:val="bottom"/>
            <w:gridSpan w:val="4"/>
            <w:shd w:val="clear" w:color="auto" w:fill="CCEEFF"/>
          </w:tcPr>
          <w:p>
            <w:pPr>
              <w:ind w:left="180"/>
              <w:spacing w:after="0" w:line="248" w:lineRule="exact"/>
              <w:rPr>
                <w:sz w:val="20"/>
                <w:szCs w:val="20"/>
                <w:color w:val="auto"/>
              </w:rPr>
            </w:pPr>
            <w:r>
              <w:rPr>
                <w:rFonts w:ascii="Arial" w:cs="Arial" w:eastAsia="Arial" w:hAnsi="Arial"/>
                <w:sz w:val="18"/>
                <w:szCs w:val="18"/>
                <w:color w:val="auto"/>
              </w:rPr>
              <w:t>4,525,000</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shares issued and outstanding (excluding 15,000,000</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60" w:type="dxa"/>
            <w:vAlign w:val="bottom"/>
          </w:tcPr>
          <w:p>
            <w:pPr>
              <w:spacing w:after="0"/>
              <w:rPr>
                <w:sz w:val="21"/>
                <w:szCs w:val="21"/>
                <w:color w:val="auto"/>
              </w:rPr>
            </w:pPr>
          </w:p>
        </w:tc>
        <w:tc>
          <w:tcPr>
            <w:tcW w:w="5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shares subject to possible redemption/tender) (as adjusted)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21"/>
                <w:szCs w:val="21"/>
                <w:color w:val="auto"/>
              </w:rPr>
            </w:pPr>
          </w:p>
        </w:tc>
      </w:tr>
      <w:tr>
        <w:trPr>
          <w:trHeight w:val="283"/>
        </w:trPr>
        <w:tc>
          <w:tcPr>
            <w:tcW w:w="6020" w:type="dxa"/>
            <w:vAlign w:val="bottom"/>
            <w:gridSpan w:val="5"/>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23"/>
                <w:szCs w:val="23"/>
                <w:color w:val="auto"/>
                <w:vertAlign w:val="superscript"/>
              </w:rPr>
              <w:t>(5)</w:t>
            </w:r>
          </w:p>
        </w:tc>
        <w:tc>
          <w:tcPr>
            <w:tcW w:w="600" w:type="dxa"/>
            <w:vAlign w:val="bottom"/>
          </w:tcPr>
          <w:p>
            <w:pPr>
              <w:jc w:val="right"/>
              <w:spacing w:after="0"/>
              <w:rPr>
                <w:sz w:val="20"/>
                <w:szCs w:val="20"/>
                <w:color w:val="auto"/>
              </w:rPr>
            </w:pPr>
            <w:r>
              <w:rPr>
                <w:rFonts w:ascii="Arial" w:cs="Arial" w:eastAsia="Arial" w:hAnsi="Arial"/>
                <w:sz w:val="18"/>
                <w:szCs w:val="18"/>
                <w:color w:val="auto"/>
              </w:rPr>
              <w:t>25,469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1,025,462</w:t>
            </w:r>
          </w:p>
        </w:tc>
        <w:tc>
          <w:tcPr>
            <w:tcW w:w="60" w:type="dxa"/>
            <w:vAlign w:val="bottom"/>
          </w:tcPr>
          <w:p>
            <w:pPr>
              <w:spacing w:after="0"/>
              <w:rPr>
                <w:sz w:val="24"/>
                <w:szCs w:val="24"/>
                <w:color w:val="auto"/>
              </w:rPr>
            </w:pPr>
          </w:p>
        </w:tc>
      </w:tr>
      <w:tr>
        <w:trPr>
          <w:trHeight w:val="264"/>
        </w:trPr>
        <w:tc>
          <w:tcPr>
            <w:tcW w:w="360" w:type="dxa"/>
            <w:vAlign w:val="bottom"/>
          </w:tcPr>
          <w:p>
            <w:pPr>
              <w:spacing w:after="0"/>
              <w:rPr>
                <w:sz w:val="22"/>
                <w:szCs w:val="2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66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22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1,024,915</w:t>
            </w:r>
          </w:p>
        </w:tc>
        <w:tc>
          <w:tcPr>
            <w:tcW w:w="60" w:type="dxa"/>
            <w:vAlign w:val="bottom"/>
          </w:tcPr>
          <w:p>
            <w:pPr>
              <w:spacing w:after="0"/>
              <w:rPr>
                <w:sz w:val="22"/>
                <w:szCs w:val="22"/>
                <w:color w:val="auto"/>
              </w:rPr>
            </w:pPr>
          </w:p>
        </w:tc>
      </w:tr>
      <w:tr>
        <w:trPr>
          <w:trHeight w:val="295"/>
        </w:trPr>
        <w:tc>
          <w:tcPr>
            <w:tcW w:w="360" w:type="dxa"/>
            <w:vAlign w:val="bottom"/>
          </w:tcPr>
          <w:p>
            <w:pPr>
              <w:spacing w:after="0"/>
              <w:rPr>
                <w:sz w:val="24"/>
                <w:szCs w:val="24"/>
                <w:color w:val="auto"/>
              </w:rPr>
            </w:pPr>
          </w:p>
        </w:tc>
        <w:tc>
          <w:tcPr>
            <w:tcW w:w="5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$57,415</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$152,524,915</w:t>
            </w:r>
          </w:p>
        </w:tc>
        <w:tc>
          <w:tcPr>
            <w:tcW w:w="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114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-1876425</wp:posOffset>
            </wp:positionV>
            <wp:extent cx="4114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-2390775</wp:posOffset>
            </wp:positionV>
            <wp:extent cx="41059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14" w:lineRule="exact"/>
        <w:rPr>
          <w:sz w:val="20"/>
          <w:szCs w:val="20"/>
          <w:color w:val="auto"/>
        </w:rPr>
      </w:pPr>
    </w:p>
    <w:p>
      <w:pPr>
        <w:ind w:left="1620" w:right="71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$6,250,000 in aggregate we will receive from the sale of the private units. Assumes the over-allotment option has not been exercised.</w:t>
      </w:r>
    </w:p>
    <w:p>
      <w:pPr>
        <w:spacing w:after="0" w:line="21"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sponsor has agreed to loan us up to $300,000 under an unsecured promissory note to be used for a portion of the expenses of this offering. As of October 13, 2021, we had borrowed $32,500 under the promissory note with our sponsor.</w:t>
      </w:r>
    </w:p>
    <w:p>
      <w:pPr>
        <w:spacing w:after="0" w:line="48" w:lineRule="exact"/>
        <w:rPr>
          <w:rFonts w:ascii="Arial" w:cs="Arial" w:eastAsia="Arial" w:hAnsi="Arial"/>
          <w:sz w:val="18"/>
          <w:szCs w:val="18"/>
          <w:color w:val="auto"/>
        </w:rPr>
      </w:pPr>
    </w:p>
    <w:p>
      <w:pPr>
        <w:ind w:left="1620" w:right="65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as adjusted share amount assumes no exercise of the underwriters’ over-allotment option.</w:t>
      </w:r>
    </w:p>
    <w:p>
      <w:pPr>
        <w:spacing w:after="0" w:line="21"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562,500 founder shares have been forfeited by our insiders as a result thereof.</w:t>
      </w:r>
    </w:p>
    <w:p>
      <w:pPr>
        <w:spacing w:after="0" w:line="21"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stockholders’ equity of $1,024,915, less shares of common stock (par value) of $453, less additional paid in capital of $1,025,462, plus the accumulated deficit of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RESULTS OF OPERATIONS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were formed on September 2, 2021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our search in the non-operated, upstream oil and gas sector. We intend to utilize cash derived from the proceeds of this offering and the private placement of the private units, our securities, debt or a combination of cash, securities and debt, in effecting our initial business combination.</w:t>
      </w:r>
    </w:p>
    <w:p>
      <w:pPr>
        <w:spacing w:after="0" w:line="123" w:lineRule="exact"/>
        <w:rPr>
          <w:sz w:val="20"/>
          <w:szCs w:val="20"/>
          <w:color w:val="auto"/>
        </w:rPr>
      </w:pPr>
    </w:p>
    <w:p>
      <w:pPr>
        <w:ind w:left="1260" w:right="1339" w:firstLine="360"/>
        <w:spacing w:after="0" w:line="261" w:lineRule="auto"/>
        <w:rPr>
          <w:sz w:val="20"/>
          <w:szCs w:val="20"/>
          <w:color w:val="auto"/>
        </w:rPr>
      </w:pPr>
      <w:r>
        <w:rPr>
          <w:rFonts w:ascii="Arial" w:cs="Arial" w:eastAsia="Arial" w:hAnsi="Arial"/>
          <w:sz w:val="18"/>
          <w:szCs w:val="18"/>
          <w:color w:val="auto"/>
        </w:rPr>
        <w:t>The issuance of additional shares of common stock or preferred stock in our initial business combination:</w:t>
      </w:r>
    </w:p>
    <w:p>
      <w:pPr>
        <w:spacing w:after="0" w:line="63" w:lineRule="exact"/>
        <w:rPr>
          <w:sz w:val="20"/>
          <w:szCs w:val="20"/>
          <w:color w:val="auto"/>
        </w:rPr>
      </w:pPr>
    </w:p>
    <w:p>
      <w:pPr>
        <w:ind w:left="1800" w:right="8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3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48"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51"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04" w:lineRule="exact"/>
        <w:rPr>
          <w:sz w:val="20"/>
          <w:szCs w:val="20"/>
          <w:color w:val="auto"/>
        </w:rPr>
      </w:pPr>
    </w:p>
    <w:p>
      <w:pPr>
        <w:ind w:left="1800" w:right="57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48"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48"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issued and outstanding;</w:t>
      </w:r>
    </w:p>
    <w:p>
      <w:pPr>
        <w:spacing w:after="0" w:line="11" w:lineRule="exact"/>
        <w:rPr>
          <w:rFonts w:ascii="Arial" w:cs="Arial" w:eastAsia="Arial" w:hAnsi="Arial"/>
          <w:sz w:val="17"/>
          <w:szCs w:val="17"/>
          <w:color w:val="auto"/>
        </w:rPr>
      </w:pPr>
    </w:p>
    <w:p>
      <w:pPr>
        <w:ind w:left="1800" w:right="41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4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35" w:lineRule="exact"/>
        <w:rPr>
          <w:rFonts w:ascii="Arial" w:cs="Arial" w:eastAsia="Arial" w:hAnsi="Arial"/>
          <w:sz w:val="18"/>
          <w:szCs w:val="18"/>
          <w:color w:val="auto"/>
        </w:rPr>
      </w:pPr>
    </w:p>
    <w:p>
      <w:pPr>
        <w:ind w:left="1800" w:right="93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16"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4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As indicated in the accompanying financial statements, at October 13, 2021, we had $0 in cash and a working capital deficit of $33,485. Further, we have incurred and expect to continue to incur significant costs in pursuit of our financing and acquisition plans. Management plans to address this uncertainty through this offering. We cannot assure you that our plans to raise capital or to consummate an initial business combination will be successful. These factors, among others, raise substantial doubt about our ability to continue as a going concern.</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liquidity needs have been satisfied to date through receipt of approximately $25,000 from the sale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founder shares and loans from related parties up to an aggregate amount of $300,000 that are more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fully described below. Our deferred offering costs through October 13, 2021 have been $58,400. We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estimate that the net proceeds from (1) the sale of the units in this offering, after deducting offering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 of approximately $750,000 and underwriting discounts and commissions payable in cash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$3,000,000 (or $3,450,000 if the over-allotment option is exercised in full) and (2) the sale of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private units for a purchase price of $6,250,000 (or $6,925,000 if the over-allotment option is exercised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full), will be $152,500,000 (or $175,2250,000 if the over-allotment option is exercised in full). Of this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amount, $151,500,000 (or $174,225,000 if the over-allotment option is exercised in full) will be held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trust account. The remaining $1,000,000 will not be held in the trust account.</w:t>
      </w:r>
    </w:p>
    <w:p>
      <w:pPr>
        <w:spacing w:after="0" w:line="14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in connection with our initial business combination and to pay our expenses relating thereto, including an aggregate cash fee payable to the representative of the underwriters in an amount equal to 3.5%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9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believe that, upon consummation of this offering, the $1,000,000 of net proceeds not held in the trust account, will be sufficient to allow us to operate for at least the next 12 months (or up to 18 months from the closing of this offering if we extend the period of time to consummate a business combination),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w:t>
      </w:r>
    </w:p>
    <w:p>
      <w:pPr>
        <w:spacing w:after="0" w:line="11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expect our primary liquidity requirements during that period to include approximately $200,000 for legal, accounting, due diligence, travel and other expenses associated with structuring, negotiating and documenting any business combinations; $150,000 for legal and accounting fees related to regulatory reporting requirements, including NYSE and other regulatory fees; $350,000 for director and officer liability insurance premiums; $50,000 for consulting, travel and miscellaneous expenses incurred during the search for a business combination target; $156,000 for the payment of office space and advisory fees to Fifth Partners,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an affiliate of our sponsor and certain of our director nominees (an aggregate of $10,000 per month for up to 12 months); and approximately $94,000 for working capital that will be used for miscellaneous expenses and reserves.</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1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459" w:firstLine="360"/>
        <w:spacing w:after="0" w:line="288" w:lineRule="auto"/>
        <w:rPr>
          <w:sz w:val="20"/>
          <w:szCs w:val="20"/>
          <w:color w:val="auto"/>
        </w:rPr>
      </w:pPr>
      <w:r>
        <w:rPr>
          <w:rFonts w:ascii="Arial" w:cs="Arial" w:eastAsia="Arial" w:hAnsi="Arial"/>
          <w:sz w:val="16"/>
          <w:szCs w:val="16"/>
          <w:color w:val="auto"/>
        </w:rPr>
        <w:t>On October 7, 2021, our sponsor purchased an aggregate of 4,312,500 founder shares for an aggregate purchase price of $25,000, or approximately $0.006 per share. The purchase price of the founder shares was determined by dividing the amount of cash contributed to the company by the number of founder shares issued. As such, our insiders will own 20% of our issued and outstanding shares after this offering (not including the private units and underlying securities and the representative founder shares and assuming they do not purchase units in this offering). If we increase or decrease the size of the offering, we will effect a capitalization or share surrender or redemption or other appropriate mechanism, as applicable with respect to our shares of common stock immediately prior to the consummation of the offering in such amount as to maintain the ownership of founder shares at 20% of our issued and outstanding shares of common stock upon the consummation of this offering. Our sponsor does not intend to purchase any units in this offering.</w:t>
      </w:r>
    </w:p>
    <w:p>
      <w:pPr>
        <w:spacing w:after="0" w:line="87"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Fifth Partners, an affiliate of our sponsor and certain of our director nominees, has agreed that, commencing on the date of this prospectus through the earlier of our consummation of our initial business combination or our liquidation, it will make available to us certain general and administrative services, including office space, utilities and secretarial support, as we may require from time to time. We have agreed to pay Fifth Partners a monthly fee of an aggregate of $13,000 for providing us with these services. In addition, Fifth Partners will be entitled to be reimbursed for any out-of-pocket expenses. Upon completion of our initial business combination or our liquidation, we will cease paying these monthly fees.</w:t>
      </w:r>
    </w:p>
    <w:p>
      <w:pPr>
        <w:spacing w:after="0" w:line="11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Our sponsor, officers and directors, or any of their respective affiliates, are entitled to be reimbursed for certain bona-fide, documented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expenses that will be reimbursed. There is no cap or ceiling on the reimbursement of out-of-pocket expenses incurred by such persons in connection with activities on our behalf.</w:t>
      </w:r>
    </w:p>
    <w:p>
      <w:pPr>
        <w:spacing w:after="0" w:line="9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On September 2, 2021 our sponsor agreed to loan us up to $300,000 under an unsecured promissory note to be used for a portion of the expenses of this offering. As of October 13, 2021, we had borrowed $32,500 under the promissory note with our sponsor. These loans are non-interest bearing, unsecured and are due at the earlier of the closing of this offering or September 30, 2022. These loans will be repaid upon the closing of this offering out of the offering proceeds not held in the trust account</w:t>
      </w:r>
    </w:p>
    <w:p>
      <w:pPr>
        <w:spacing w:after="0" w:line="10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units issued to our sponsor.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 The amount of any such fee we pay will be based upon the prevailing market for similar services for comparable transactions at such time, and will be subject to the review of our audit committee pursuant to the audit committee’s policies and procedures relating to transactions that may present conflicts of interest. We would disclose any such fee in the proxy or tender offer materials used in connection with a proposed business combination.</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addition, our sponsor, ROC Energy Holdings LLC, has committed to purchase from us 625,000 private units (or 692,500 private units if the over-allotment option is exercised in full), at $10.00 per private unit for a total purchase price of $ 6,250,000 (or $6,925,000 if the over-allotment option is exercised in full). The private units will be sold in a private placement that will close simultaneously with the closing of this offering. Each private unit is identical to the public units, except for the restrictions described in this prospectus. Our sponsor will be permitted to transfer the private units held by them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units will not, subject to certain limited exceptions, be transferable or salable until after the completion of our initial business combination.</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Pursuant to a registration rights agreement we will enter into with our insiders on or prior to the closing of this offering, we may be required to register certain securities for sale under the Securities Act. These holders, and holders of units issued upon conversion of working capital loans or extension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See “Certain Relationships and Related Party Transactions.”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ind w:left="1260" w:right="1099" w:firstLine="360"/>
        <w:spacing w:after="0" w:line="248"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39" w:lineRule="auto"/>
        <w:rPr>
          <w:sz w:val="20"/>
          <w:szCs w:val="20"/>
          <w:color w:val="auto"/>
        </w:rPr>
      </w:pPr>
      <w:r>
        <w:rPr>
          <w:rFonts w:ascii="Arial" w:cs="Arial" w:eastAsia="Arial" w:hAnsi="Arial"/>
          <w:sz w:val="18"/>
          <w:szCs w:val="18"/>
          <w:color w:val="auto"/>
        </w:rPr>
        <w:t>of the Sarbanes -Oxley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1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Prior to the closing of this offering,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Target businesses we may consider for our initial business combination may have internal controls that need improvement in areas such as:</w:t>
      </w:r>
    </w:p>
    <w:p>
      <w:pPr>
        <w:spacing w:after="0" w:line="63"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October 13, 2021, we did not have any off-balance sheet arrangements as defined in Item 303(a)</w:t>
      </w:r>
    </w:p>
    <w:p>
      <w:pPr>
        <w:spacing w:after="0" w:line="35" w:lineRule="exact"/>
        <w:rPr>
          <w:sz w:val="20"/>
          <w:szCs w:val="20"/>
          <w:color w:val="auto"/>
        </w:rPr>
      </w:pPr>
    </w:p>
    <w:p>
      <w:pPr>
        <w:ind w:left="1260" w:right="959"/>
        <w:spacing w:after="0" w:line="290" w:lineRule="auto"/>
        <w:rPr>
          <w:sz w:val="20"/>
          <w:szCs w:val="20"/>
          <w:color w:val="auto"/>
        </w:rPr>
      </w:pPr>
      <w:r>
        <w:rPr>
          <w:rFonts w:ascii="Arial" w:cs="Arial" w:eastAsia="Arial" w:hAnsi="Arial"/>
          <w:sz w:val="17"/>
          <w:szCs w:val="17"/>
          <w:color w:val="auto"/>
        </w:rPr>
        <w:t>(4)(ii) of Regulation S-K and did not have any commitments or contractual obligations. No unaudited quarterly operating data is included in this prospectus as we have conducted no operations to date.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1"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w:t>
      </w:r>
    </w:p>
    <w:p>
      <w:pPr>
        <w:ind w:left="1260" w:right="439"/>
        <w:spacing w:after="0" w:line="267" w:lineRule="auto"/>
        <w:rPr>
          <w:sz w:val="20"/>
          <w:szCs w:val="20"/>
          <w:color w:val="auto"/>
        </w:rPr>
      </w:pPr>
      <w:r>
        <w:rPr>
          <w:rFonts w:ascii="Arial" w:cs="Arial" w:eastAsia="Arial" w:hAnsi="Arial"/>
          <w:sz w:val="17"/>
          <w:szCs w:val="17"/>
          <w:color w:val="auto"/>
        </w:rPr>
        <w:t>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are a newly incorporated Delaware corporation structured as a blank check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potential business combination target, and we have not, nor has anyone on our behalf, initiated any substantive discussions, directly or indirectly, with any potential target regarding entering into a business combination with us.</w:t>
      </w:r>
    </w:p>
    <w:p>
      <w:pPr>
        <w:spacing w:after="0" w:line="110"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While we may pursue an initial business combination target in any business, industry or geographical location, we intend to focus our acquisition efforts on the non-operated, upstream oil and gas sector in the U.S. We believe that the significant opportunity set, lack of competition and maturity of the production base, combined with low-risk development, has generated a compelling opportunity to create a dividend-paying oil and gas company focused on consolidating the asset class.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1260" w:right="599" w:firstLine="360"/>
        <w:spacing w:after="0" w:line="257" w:lineRule="auto"/>
        <w:rPr>
          <w:sz w:val="20"/>
          <w:szCs w:val="20"/>
          <w:color w:val="auto"/>
        </w:rPr>
      </w:pPr>
      <w:r>
        <w:rPr>
          <w:rFonts w:ascii="Arial" w:cs="Arial" w:eastAsia="Arial" w:hAnsi="Arial"/>
          <w:sz w:val="18"/>
          <w:szCs w:val="18"/>
          <w:color w:val="auto"/>
        </w:rPr>
        <w:t>The non-operated segment of the oil and gas sector is highly fragmented, with a significant supply of high-quality producing and non-producing assets. Additionally, the sector is generally uncompetitive with only one pure-play, publicly held non-operated company. Energy-specific private equity firms have pulled back from investing in non-operated focused businesses due to lack of exit alternatives and overall lack of investible capital at the fund level.</w:t>
      </w:r>
    </w:p>
    <w:p>
      <w:pPr>
        <w:spacing w:after="0" w:line="107"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Since the last public non-operated company came to market in 2007, the profile of the onshore upstream sector has changed dramatically. U.S. production has increased over 100% in natural gas and over 150% in oil. Horizontal drilling costs have decreased by over 50%, while ultimate economic recoveries have increased by well over 100% in shale basins. While the early days of shale drilling were defined by resource delineation, well-space testing and under-built midstream infrastructure, today’s shale business harnesses the knowledge gained and infrastructure built over the past 15 years to develop the resource reliably, predictably and economically. The assets that are being developed now are well understood and have predictable ultimate economic recoveries which we believe can provide significant upside to investors.</w:t>
      </w:r>
    </w:p>
    <w:p>
      <w:pPr>
        <w:spacing w:after="0" w:line="111"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believe that our knowledge and experience in the sector, combined with the lack of competition, presents the opportunity to buy high quality assets or businesses at compelling purchase prices with attractive reinvestment opportunities while still paying a dividend. We believe that owners of non-operated assets, funds and companies will find a merger or sale to a special purpose acquisition company to be a very compelling proposition, given the paucity viable alternatives.</w:t>
      </w:r>
    </w:p>
    <w:p>
      <w:pPr>
        <w:spacing w:after="0" w:line="120"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In terms of market size, based on public filings of operators, approximately 30% of all onshore producing assets in the U.S. are non-operated, making the total market over $500 billion in the U.S. alone.</w:t>
      </w:r>
    </w:p>
    <w:p>
      <w:pPr>
        <w:spacing w:after="0" w:line="65"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Additionally, based on public filings of operators, the value of non-producing, non-operated leasehold assets is expected to exceed $200 billion over the next 20 years at current development pace, making this a compelling investment opportunity. The Annual Energy Outlook 2021 by the Energy Information Administration (“EIA”) forecasts a growing onshore U.S. market with tight oil production growing by over 25%, natural gas liquids production growing by over 20% and natural gas from shale production growing by over 45% through 2050, even with renewables projected to grow over 200% during the same time period.</w:t>
      </w:r>
    </w:p>
    <w:p>
      <w:pPr>
        <w:spacing w:after="0" w:line="11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Drilling and completion efficiencies and technological gains have enabled drilling and completion costs to be cut in half, if not greater in many cases. The overall capital outlay per well is much less, which boosts drilling economics and improves overall corporate returns.</w:t>
      </w:r>
    </w:p>
    <w:p>
      <w:pPr>
        <w:spacing w:after="0" w:line="116"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Since 2000, over $100 billion of midstream infrastructure has been developed, allowing hydrocarbons to get to market at a low cost. Additionally, domestic oil and natural gas have entered the international market through large export channels, which has helped support pricing.</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environmental footprint and emissions of development has decreased as operators have leveraged the buildout in midstream infrastructure and leverage existing development infrastructure to produce hydrocarbons responsibly.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Advantages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There is only one public company with a focus on acquiring non-operated assets, with an enterprise value of roughly $2 billion. Public companies that directly manage and operate assets are instead net sellers of non-operated assets, which makes them potential partners and sources of deals for us. Currently, the fundraising environment for energy private equity is extremely challenging due to underperformance as an asset class and due to environmental, social and governance issues identified by limited partners. The remaining capital and liquidity within existing funds is largely dedicated to operated upstream strategies and we do not expect to have any material competition from these types of funds. Other private equity commitments to oil and gas companies have decreased substantially, limiting liquidity in the sector and thus hurting valuations of targets, which makes our strategy even more attractive for investors. In addition, non-operated funds, which are funds that have pursued non-operated assets as a business plan, are approaching their harvest periods and are largely unable to raise new funds due to the same performance issues and environmental, social and governance issues identified by their traditional funding sources.</w:t>
      </w:r>
    </w:p>
    <w:p>
      <w:pPr>
        <w:spacing w:after="0" w:line="116"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In addition, non-operated funds, which are funds that have pursued non-operated assets as a business plan, are approaching their harvest periods and are largely unable to raise new funds due to the same performance issues and environmental, social and governance issues identified by their traditional funding sources.</w:t>
      </w:r>
    </w:p>
    <w:p>
      <w:pPr>
        <w:spacing w:after="0" w:line="120"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Other sources of competition might come from new traditional initial public offerings, or IPOs, which is a market that is largely shut, as evidenced by the fact that in the last 15 years, there has not been a single traditional IPO of a non -operated focused company. The Acquisition and Divestitures (“A&amp;D”) market remains challenging for sellers of non-operated assets due to a lack of competition and oversupply of assets.</w:t>
      </w:r>
    </w:p>
    <w:p>
      <w:pPr>
        <w:spacing w:after="0" w:line="74"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We believe our management is uniquely suited to capitalize on this opportunity and generate attractive returns given our deep energy investing experience and relationships in the sector, which we believe will help us in deal-sourcing, asset selection, underwriting and financing. A non-operated strategy allows us to utilize our deep relationships with the best operators and knowledge of quality assets to build a well-run balanced portfolio of properties that benefits from diversification — a key risk mitigation tool.</w:t>
      </w:r>
    </w:p>
    <w:p>
      <w:pPr>
        <w:spacing w:after="0" w:line="10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may also draw upon the services of Fifth Partners, an affiliate of our sponsor and certain of our director nominees. Fifth Partners is a private equity group located in Dallas, Texas. An active investment partner, it provides network companies access to the people, opportunities and capital needed to build sustainable enterprises. Since its founding in 2015, Fifth Partners has deployed over $1.5 billion across various asset classes, including real estate and energy. In addition to hard asset investing, Fifth Partners also owns and operates multiple early- to mid-stage businesses.</w:t>
      </w:r>
    </w:p>
    <w:p>
      <w:pPr>
        <w:spacing w:after="0" w:line="12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Notwithstanding the foregoing, past performance of our management team, advisors, Fifth Partners or their respective affiliates is not a guarantee either (i) that we will be able to identify a suitable candidate for our initial business combination or (ii) of success with respect to any business combination we may consummate.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Business Combination Process</w:t>
      </w:r>
    </w:p>
    <w:p>
      <w:pPr>
        <w:spacing w:after="0" w:line="148"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In evaluating a prospective target business, we will conduct a customary due diligence review that will encompass, among other things, meetings with incumbent management and employees, document reviews, interviews of customers and suppliers, inspection of facilities as well as reviewing financial and other information that will be made available to us. We will also utilize our operational and capital allocation experience to further our understanding of the prospective target business.</w:t>
      </w:r>
    </w:p>
    <w:p>
      <w:pPr>
        <w:spacing w:after="0" w:line="122"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We may also draw upon the services of Fifth Partners, an affiliate of our sponsor and certain of our director nominees. Fifth Partners is a private equity group located in Dallas, Texas. An active investment partner, it provides network companies access to the people, opportunities and capital needed to build</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sustainable enterprises. Since its founding in 2015, Fifth Partners has deployed over $1.5 billion across various asset classes, including real estate and energy. In addition to hard asset investing, Fifth Partners also owns and operates multiple early- to mid-stage businesses.</w:t>
      </w:r>
    </w:p>
    <w:p>
      <w:pPr>
        <w:spacing w:after="0" w:line="101"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currently anticipate that Fifth Partners will, from time to time, assist us in the identification of assets or companies that may be appropriate acquisition targets. While we may also draw upon Fifth Partners’ platforms, infrastructure, personnel, network and relationships to provide access to deal prospects, along with any necessary resources to aid in the identification and diligence of a target for the initial business combination, Fifth Partners is not obligated to identify any such target assets or companies or to perform due diligence on any acquisition targets. Any such activities are solely the responsibility of our management team.</w:t>
      </w:r>
    </w:p>
    <w:p>
      <w:pPr>
        <w:spacing w:after="0" w:line="12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valuation or appraisal firm that regularly provides fairness opinions that our initial business combination is fair to our company from a financial point of view. In addition, we have not contacted any of the prospective target businesses that prior blank check companies with which our officers and directors have been involved, and had considered and rejected. We do not currently intend to contact any of such targets; however, we may do so in the future if we become aware that the valuations, operations, profits or prospects of such target business, or the benefits of any potential transaction with such target business, would be attractive.</w:t>
      </w:r>
    </w:p>
    <w:p>
      <w:pPr>
        <w:spacing w:after="0" w:line="12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Members of our management team will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officers and directors presently have, and any of them in the future may have additional, fiduciary or contractual obligations to other entities, including, Americas Technology Acquisition Corp. (NYSE: ATA.U), a special purpose acquisition company (“SPAC”) that consummated its initial public offering in December 2020 and is currently in the process of searching for a business combination target, Pursuant to such fiduciary duties, such officer or director is or will be required to present a business combination opportunity to such other entities subject to his or her fiduciary duties. Subject to his or her fiduciary duties under Delaware law, none of the members of our management team who are also employed by our sponsor or its affiliates have any obligation to present us with any opportunity for a potential business combination of which they become aware.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subject to his or her fiduciary duties under Delaware law and any other applicable fiduciary duties, and only present it to us if such entity rejects the opportunity.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compete on a reasonable basis. For more information, see the section entitled “Management — Conflicts of Interest.”</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Our officers and directors may, under certain circumstances, become an officer or director of another special purpose acquisition company with a class of securities intended to be registered under the Securities Exchange Act of 1934, as amended, or the Exchange Act, even before we have entered into a definitive agreement regarding our initial business combination.</w:t>
      </w:r>
    </w:p>
    <w:p>
      <w:pPr>
        <w:spacing w:after="0" w:line="120"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Our acquisition criteria, due diligence processes and value creation methods are not intended to be exhaustive. Any evaluation relating to the merits of a particular initial business combination may be based, to the extent relevant, on these general guidelines as well as other considerations, factors and criteria that our</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1" w:lineRule="auto"/>
        <w:rPr>
          <w:sz w:val="20"/>
          <w:szCs w:val="20"/>
          <w:color w:val="auto"/>
        </w:rPr>
      </w:pPr>
      <w:r>
        <w:rPr>
          <w:rFonts w:ascii="Arial" w:cs="Arial" w:eastAsia="Arial" w:hAnsi="Arial"/>
          <w:sz w:val="18"/>
          <w:szCs w:val="18"/>
          <w:color w:val="auto"/>
        </w:rPr>
        <w:t>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believe that the operational and transactional experience of our management team and members of our sponsor and their respective affiliates and related entities and the relationships they have developed as a result of such experience, will provide us with a substantial number of potential business combination targets. These individuals and entities have developed a broad network of contacts and corporate relationships around the world. This network has grown through sourcing, acquiring and financing businesses and maintaining relationships with sellers, financing sources and target management teams. Our management team and members of our sponsor and their respective affiliates and related entities have significant experience in executing transactions under varying economic and financial market conditions. We believe that these networks of relationships and this experience will provide us with important sources of investment opportunities. In addition, we anticipate that target business candidates may be brought to our attention from various unaffiliated sources, including investment market participants, private equity funds and large business enterprises seeking to divest noncore assets or divisions.</w:t>
      </w:r>
    </w:p>
    <w:p>
      <w:pPr>
        <w:spacing w:after="0" w:line="11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their respective affiliates or related entities) or making the acquisition through a joint venture or other form of shared ownership with our sponsor, officers or directors (or their respective affiliates or related entities). In the event we seek to complete our initial business combination with a company that is affiliated with our sponsor, officers or directors (or their respective affiliates or related entities), we, or a committee of independent directors, will obtain an opinion from an independent investment banking firm or another independent firm that commonly renders valuation opinions that our initial business combination is fair to our company from a financial point of view. We are not required to obtain such an opinion in any other context.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We will have 12 months from the closing of this offering to consummate an initial business combination (or up to 18 months from the closing of this offering if we extend the period of time to consummate a business combination).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If we anticipate that we may not be able to consummate our initial business combination within 12 months, we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as set out below. Pursuant to the terms of our amended and 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$1,500,000, or $1,725,000 if the underwriters’ over-allotment option is exercised in full ($0.10 per unit in either case), on or prior to the date of the applicable deadline, for each of the available three month extensions providing a total possible business combination period of 18 months for a total payment of $3,000,000, or $3,450,000 if the underwriters’ over-allotment option is exercised in full ($0.10 per unit in either case). Any such payments would be made in the form of non-interest bearing loans. If we complete our initial business combination, we will, at the option</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of our sponsor, repay such loaned amounts out of the proceeds of the trust account released to us or convert a portion or all of the total loan amount into units at a price of $10.00 per unit, which units will be identical to the private units. If we do not complete a business combination, we will repay such loans only from funds held outside of the trust account. Our stockholders will not be entitled to vote or redeem their shares in connection with any such extension. In the event that we receive notice from our sponsor five days prior to the applicable deadline of its wish for us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sponsor and its affiliates or designees are not obligated to fund the trust account to extend the time for us to complete our initial business combination.</w:t>
      </w:r>
    </w:p>
    <w:p>
      <w:pPr>
        <w:spacing w:after="0" w:line="9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will either (1) seek stockholder approval of our initial business combination at a meeting called for such purpose, at which stockholders may seek to redeem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2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initial per public share redemption or redemption price will be $10.10 per share, regardless of whether the over-allotment option is exercised, without taking into account any interest earned on such funds or additional funds, if any, deposited into the trust account in connection with extensions of the period of time to consummate a business combination (as described in more detail in this prospectus). However, we may not be able to distribute such amounts as a result of claims of creditors which may take priority over the claims of our public stockholders.</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NYSE rules require that we must consummate an initial business combination with one or more operating businesses or assets with a fair market value equal to at least 80% of the net assets held in the trust account (excluding any taxes payable). If our board of directors is not able to independently determine the fair market value of our initial business combination, we will obtain an opinion from an independent investment banking firm or another independent firm that regularly provides fairness opinions solely with respect to the satisfaction of such criteria. While we consider it unlikely that our board will not be able to make such independent determination of fair market value,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meets the 80% fair market value test, unless such opinion includes material information regarding the valuation of a target business or the consideration to be provided, it is not anticipated that copies of such opinion would be distributed to our stockholders. However, if required under applicable law, any proxy statement that we deliver to stockholders and file with the SEC in connection with a proposed transaction will include such opinion.</w:t>
      </w:r>
    </w:p>
    <w:p>
      <w:pPr>
        <w:spacing w:after="0" w:line="11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However, we will only complete such business combination if the post-transaction company owns or acquires 50% or more of the issued and outstanding voting securities of the target or otherwise acquires a controlling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85"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issued and outstanding capital stock, shares and/or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NYSE’s 80% fair market value test. If the business combination involves more than one target business, the 80% fair market value test will be based on the aggregate value of all of the target businesses. If our securities are not listed on the NYSE after this offering, we would not be required to satisfy the 80% requirement. However, we intend to satisfy the 80% requirement even if our securities are not listed on the NYSE at the time of our initial business combination.</w:t>
      </w:r>
    </w:p>
    <w:p>
      <w:pPr>
        <w:spacing w:after="0" w:line="311"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Team</w:t>
      </w:r>
    </w:p>
    <w:p>
      <w:pPr>
        <w:spacing w:after="0" w:line="162"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Members of our management team are not obligated to devote any specific number of hours to our matters but they intend to devote as much of their time as they deem necessary to our affairs until we have completed our initial business combination. The amount of time that any member of our management team will devote in any time period will vary based on whether a target business has been selected for our initial business combination and the current stage of the initial business combination process.</w:t>
      </w:r>
    </w:p>
    <w:p>
      <w:pPr>
        <w:spacing w:after="0" w:line="10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We believe our management team’s operating and transaction experience and relationships with companies will provide us with a substantial number of potential business combination targets. Over the course of their careers, the members of our management team have developed a broad network of contacts and corporate relationships.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 See the section of this prospectus entitled “Management” for a more complete description of our management team’s experience.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shares of common stock (or shares of a new holding company) or for a combination of our shares of common stock and cash, allowing us to tailor the consideration to the specific needs of the sellers. 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ectPr>
          <w:pgSz w:w="11900" w:h="16838" w:orient="portrait"/>
          <w:cols w:equalWidth="0" w:num="1">
            <w:col w:w="9879"/>
          </w:cols>
          <w:pgMar w:left="580" w:top="131"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9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7"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419"/>
        <w:spacing w:after="0" w:line="232" w:lineRule="auto"/>
        <w:tabs>
          <w:tab w:leader="none" w:pos="15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8"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equaled or exceeded $250 million as of the end of the prior June 30</w:t>
      </w:r>
      <w:r>
        <w:rPr>
          <w:rFonts w:ascii="Arial" w:cs="Arial" w:eastAsia="Arial" w:hAnsi="Arial"/>
          <w:sz w:val="23"/>
          <w:szCs w:val="23"/>
          <w:color w:val="auto"/>
          <w:vertAlign w:val="superscript"/>
        </w:rPr>
        <w:t>th</w:t>
      </w:r>
      <w:r>
        <w:rPr>
          <w:rFonts w:ascii="Arial" w:cs="Arial" w:eastAsia="Arial" w:hAnsi="Arial"/>
          <w:sz w:val="16"/>
          <w:szCs w:val="16"/>
          <w:color w:val="auto"/>
        </w:rPr>
        <w:t>; or (2) our annual revenues equaled or exceeded $100 million during such completed fiscal year and the market value of our common stock held by non-affiliates equaled or exceeded $700 million as of the prior June 30</w:t>
      </w:r>
      <w:r>
        <w:rPr>
          <w:rFonts w:ascii="Arial" w:cs="Arial" w:eastAsia="Arial" w:hAnsi="Arial"/>
          <w:sz w:val="23"/>
          <w:szCs w:val="23"/>
          <w:color w:val="auto"/>
          <w:vertAlign w:val="superscript"/>
        </w:rPr>
        <w:t>th</w:t>
      </w:r>
      <w:r>
        <w:rPr>
          <w:rFonts w:ascii="Arial" w:cs="Arial" w:eastAsia="Arial" w:hAnsi="Arial"/>
          <w:sz w:val="16"/>
          <w:szCs w:val="16"/>
          <w:color w:val="auto"/>
        </w:rPr>
        <w:t>.</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With funds available for an initial business combination initially in the amount of $151,500,000 (or $174,225,000 if the underwriters’ over-allotment option is exercised in full), in each case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Sources of Target Businesses</w:t>
      </w:r>
    </w:p>
    <w:p>
      <w:pPr>
        <w:spacing w:after="0" w:line="14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of a Target Business and Structuring of a Business Combination</w:t>
      </w:r>
    </w:p>
    <w:p>
      <w:pPr>
        <w:spacing w:after="0" w:line="162"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stockholder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1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Market Value of Target Business or Businesses</w:t>
      </w:r>
    </w:p>
    <w:p>
      <w:pPr>
        <w:spacing w:after="0" w:line="14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84" w:lineRule="exact"/>
        <w:rPr>
          <w:sz w:val="20"/>
          <w:szCs w:val="20"/>
          <w:color w:val="auto"/>
        </w:rPr>
      </w:pPr>
    </w:p>
    <w:p>
      <w:pPr>
        <w:ind w:left="1800" w:right="55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6"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an Initial Business Combination</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law or applicable stock exchange rule,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Whether Stockholder Approval is Required</w:t>
            </w:r>
          </w:p>
        </w:tc>
      </w:tr>
      <w:tr>
        <w:trPr>
          <w:trHeight w:val="25"/>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2"/>
          </w:tcPr>
          <w:p>
            <w:pPr>
              <w:spacing w:after="0"/>
              <w:rPr>
                <w:sz w:val="20"/>
                <w:szCs w:val="20"/>
                <w:color w:val="auto"/>
              </w:rPr>
            </w:pPr>
            <w:r>
              <w:rPr>
                <w:rFonts w:ascii="Arial" w:cs="Arial" w:eastAsia="Arial" w:hAnsi="Arial"/>
                <w:sz w:val="18"/>
                <w:szCs w:val="18"/>
                <w:color w:val="auto"/>
              </w:rPr>
              <w:t>Purchase of assets</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the company</w:t>
            </w:r>
          </w:p>
        </w:tc>
        <w:tc>
          <w:tcPr>
            <w:tcW w:w="2940" w:type="dxa"/>
            <w:vAlign w:val="bottom"/>
          </w:tcPr>
          <w:p>
            <w:pPr>
              <w:spacing w:after="0"/>
              <w:rPr>
                <w:sz w:val="20"/>
                <w:szCs w:val="20"/>
                <w:color w:val="auto"/>
              </w:rPr>
            </w:pP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29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13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Under the NYSE’s listing rules, stockholder approval would be required for our initial business combination if, for example:</w:t>
      </w:r>
    </w:p>
    <w:p>
      <w:pPr>
        <w:spacing w:after="0" w:line="62" w:lineRule="exact"/>
        <w:rPr>
          <w:sz w:val="20"/>
          <w:szCs w:val="20"/>
          <w:color w:val="auto"/>
        </w:rPr>
      </w:pPr>
    </w:p>
    <w:p>
      <w:pPr>
        <w:ind w:left="1800" w:right="4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issue shares of common stock that will be equal to or in excess of 20% of the number of shares of our common stock then outstanding;</w:t>
      </w:r>
    </w:p>
    <w:p>
      <w:pPr>
        <w:spacing w:after="0" w:line="62"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the NYSE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issuance or potential issuance of common stock will result in our undergoing a change of control.</w:t>
      </w:r>
    </w:p>
    <w:p>
      <w:pPr>
        <w:spacing w:after="0" w:line="16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 xml:space="preserve">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(net of taxes payable) or (2) provide our public stockholders with the opportunity to sell their public shares to us by</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 xml:space="preserve">means of a tender offer (and thereby avoid the need for a stockholder vote) for an amount equal to their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share of the aggregate amount then on deposit in the trust account (net of taxes payable),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subject to the limitations described herein.</w:t>
      </w:r>
    </w:p>
    <w:p>
      <w:pPr>
        <w:spacing w:after="0" w:line="10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1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 xml:space="preserve">We chose our net tangible asset threshold of $5,000,001 to ensure that we would avoid being subject to Rule 419.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12 months from the closing of this offering (or up to 18 months from the closing of this offering if we extend the period of time to consummate a business combination) in order to be able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initial stockholders and our officers and directors have agreed:</w:t>
      </w:r>
    </w:p>
    <w:p>
      <w:pPr>
        <w:spacing w:after="0" w:line="144" w:lineRule="exact"/>
        <w:rPr>
          <w:sz w:val="20"/>
          <w:szCs w:val="20"/>
          <w:color w:val="auto"/>
        </w:rPr>
      </w:pPr>
    </w:p>
    <w:p>
      <w:pPr>
        <w:ind w:left="1980" w:right="1399" w:hanging="360"/>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vote any shares of common stock owned by them in favor of any proposed business combination;</w:t>
      </w:r>
    </w:p>
    <w:p>
      <w:pPr>
        <w:spacing w:after="0" w:line="89" w:lineRule="exact"/>
        <w:rPr>
          <w:rFonts w:ascii="Arial" w:cs="Arial" w:eastAsia="Arial" w:hAnsi="Arial"/>
          <w:sz w:val="18"/>
          <w:szCs w:val="18"/>
          <w:color w:val="auto"/>
        </w:rPr>
      </w:pPr>
    </w:p>
    <w:p>
      <w:pPr>
        <w:ind w:left="1980" w:right="819" w:hanging="360"/>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to redeem any shares of common stock in connection with a stockholder vote to approve a proposed initial business combination; and</w:t>
      </w:r>
    </w:p>
    <w:p>
      <w:pPr>
        <w:spacing w:after="0" w:line="102" w:lineRule="exact"/>
        <w:rPr>
          <w:rFonts w:ascii="Arial" w:cs="Arial" w:eastAsia="Arial" w:hAnsi="Arial"/>
          <w:sz w:val="18"/>
          <w:szCs w:val="18"/>
          <w:color w:val="auto"/>
        </w:rPr>
      </w:pPr>
    </w:p>
    <w:p>
      <w:pPr>
        <w:ind w:left="1980" w:right="619" w:hanging="360"/>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sell any shares of common stock in any tender in connection with a proposed initial business combination.</w:t>
      </w:r>
    </w:p>
    <w:p>
      <w:pPr>
        <w:spacing w:after="0" w:line="89"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As a result, in addition to the founder shares and private shares, we would need only 5,387,501, or approximately 35.9% (assuming all outstanding shares are voted and the over-allotment option is not exercised) or 506,251, or approximately 3.4% (assuming only the minimum number of shares representing a quorum are voted and the over-allotment option is not exercised), of the 15,000,000 public shares sold in this offering to be voted in favor of an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In the event we seek stockholder approval of our initial business combination and we do not conduct redemptions in connection with our initial business combination pursuant to the tender offer rules, our sponsor, directors, officers, or their respective affiliates may purchase shares or rights in privately negotiated transactions or in the open market either prior to or following the completion of our initial business combination. There is no limit on the number of shares such persons may purchase. However, they have no current commitments, plans or intentions to engage in such transactions and have not formulated any terms or conditions for any such transactions. In the event our sponsor, directors, officers, or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shares or rights in such transactions. They will not make any such purchases when they are in possession of any material non-public</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Subsequent to the consummation of this offering, we will adopt an insider trading policy which will require insiders to: (i) refrain from purchasing shares during certain blackout periods and when they are in possession of any material non-public information and (ii) to clear all trades with our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9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the event that our sponsor, directors, officers,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rights could be to reduce the number of rights, or underlying securities, outstanding. This may result in the completion of our initial business combination that may not otherwise have been possible.</w:t>
      </w:r>
    </w:p>
    <w:p>
      <w:pPr>
        <w:spacing w:after="0" w:line="112"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10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sponsor, directors, officers, or their respective affiliates anticipate that they may identify the stockholders with whom our sponsor, directors, officers, or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directors, officers, or their respective affiliates enter into a private purchase, they would identify and contact only potential selling stockholders who have expressed their election to redeem their shares for a pro rata share of the trust account or vote against the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directors, officers, or their respective affiliates will only purchase shares if such purchases comply with Regulation M under the Exchange Act and the other federal securities laws.</w:t>
      </w:r>
    </w:p>
    <w:p>
      <w:pPr>
        <w:spacing w:after="0" w:line="122"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Any purchases by our sponsor, directors, officers, or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10b- 5 of the Exchange Act. Rule 10b-18 has certain technical requirements that must be complied with in order for the safe harbor to be available to the purchaser. Our sponsor, directors, officers, or their respective affiliates will not make purchases of common stock if the purchases would violate Section 9(a)(2) or Rule 10b-5 of the Exchange Act.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16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color w:val="auto"/>
        </w:rPr>
        <w:t>We will provide our public stockholders with the opportunity to redeem all or a portion of their common stock upon the completion of our initial business combination at a per-share price, payable in</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5" w:lineRule="auto"/>
        <w:rPr>
          <w:sz w:val="20"/>
          <w:szCs w:val="20"/>
          <w:color w:val="auto"/>
        </w:rPr>
      </w:pPr>
      <w:r>
        <w:rPr>
          <w:rFonts w:ascii="Arial" w:cs="Arial" w:eastAsia="Arial" w:hAnsi="Arial"/>
          <w:sz w:val="17"/>
          <w:szCs w:val="17"/>
          <w:color w:val="auto"/>
        </w:rPr>
        <w:t>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The amount in the trust account is initially anticipated to be approximately $10.10 per public share. Our sponsor, officers and directors have entered into a letter agreement with us, pursuant to which they have agreed to waive their redemption rights with respect to their founder shares, private shares and any public shares they may hold in connection with the completion of our initial business combination.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will provide our public stockholders with the opportunity to redeem all or a portion of their common stock upon the completion of our initial business combination either (i) in connection with a general meeting called to approve the business combination or (ii)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Asset acquisitions and share purchases would not typically require stockholder approval while direct mergers with our company where we do not survive and any transactions where we issue more than 20% of our issued and outstanding common stock or seek to amend our amended and restated certificate of incorporation would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in connection with a stockholder vote unless stockholder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1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74" w:lineRule="exact"/>
        <w:rPr>
          <w:sz w:val="20"/>
          <w:szCs w:val="20"/>
          <w:color w:val="auto"/>
        </w:rPr>
      </w:pPr>
    </w:p>
    <w:p>
      <w:pPr>
        <w:jc w:val="both"/>
        <w:ind w:left="1800" w:right="519" w:hanging="180"/>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We expect that a final proxy statement would be mailed to public stockholders at least 5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10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0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If we seek stockholder approval, we will complete our initial business combination only if we obtain the approval of an ordinary resolution under Delaware law, being the affirmative vote of a majority of the common stock represented in person or by proxy and entitled to vote thereon and who vote at a general meeting in favor of the business combination. In such case, pursuant to the terms of a letter agreement entered into with us, our sponsor, officers and directors have agreed (and their permitted transferees will agree) to vote any founder shares and private shares held by them and any public shares purchased during or after this offering in favor of our initial business combination. We expect that at the time of any stockholder vote relating to our initial business combination, our initial stockholders and their respective permitted transferees will own at least 20% of our issued and outstanding common stock entitled to vote thereon. Each public stockholder may elect to redeem their public shares irrespective of whether they vote for or against</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94" w:lineRule="auto"/>
        <w:rPr>
          <w:sz w:val="20"/>
          <w:szCs w:val="20"/>
          <w:color w:val="auto"/>
        </w:rPr>
      </w:pPr>
      <w:r>
        <w:rPr>
          <w:rFonts w:ascii="Arial" w:cs="Arial" w:eastAsia="Arial" w:hAnsi="Arial"/>
          <w:sz w:val="16"/>
          <w:szCs w:val="16"/>
          <w:color w:val="auto"/>
        </w:rPr>
        <w:t>the proposed transaction. In addition, our sponsor, officers and directors have entered into a letter agreement with us, pursuant to which they have agreed to waive their redemption rights with respect to their founder shares, private shares and public shares in connection with the completion of a business combination.</w:t>
      </w:r>
    </w:p>
    <w:p>
      <w:pPr>
        <w:spacing w:after="0" w:line="66"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legal reasons, we will, pursuant to our amended and restated certificate of incorporation:</w:t>
      </w:r>
    </w:p>
    <w:p>
      <w:pPr>
        <w:spacing w:after="0" w:line="39" w:lineRule="exact"/>
        <w:rPr>
          <w:sz w:val="20"/>
          <w:szCs w:val="20"/>
          <w:color w:val="auto"/>
        </w:rPr>
      </w:pPr>
    </w:p>
    <w:p>
      <w:pPr>
        <w:ind w:left="1800" w:right="7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62" w:lineRule="exact"/>
        <w:rPr>
          <w:rFonts w:ascii="Arial" w:cs="Arial" w:eastAsia="Arial" w:hAnsi="Arial"/>
          <w:sz w:val="18"/>
          <w:szCs w:val="18"/>
          <w:color w:val="auto"/>
        </w:rPr>
      </w:pPr>
    </w:p>
    <w:p>
      <w:pPr>
        <w:jc w:val="both"/>
        <w:ind w:left="1800" w:right="49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our common stock in the open market if we elect to redeem our public shares through a tender offer, to comply with Rule 14e-5 under the Exchange Act.</w:t>
      </w:r>
    </w:p>
    <w:p>
      <w:pPr>
        <w:spacing w:after="0" w:line="12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 commissions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0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Our amended and restated certificate of incorporation will provide that we will only redeem our public shares so long as (after such redemption) our net tangible assets will be at least $5,000,001 either immediately prior to or upon consummation of our initial business combination and after payment of underwriters’ fees and commissions. Redemptions of our public shares may also be subject to a higher net tangible asset test or cash requirement pursuant to an agreement relating to our initial business combination. For example,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common stock submitted for redemption will be returned to the holders thereof.</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Limitation on redemption upon completion of our initial business combination if we seek stockholder approval</w:t>
      </w:r>
    </w:p>
    <w:p>
      <w:pPr>
        <w:spacing w:after="0" w:line="19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 current market price or on other undesirable terms. By limiting our stockholders’ ability to redeem no more than 20% of the shares sold in this offering, we believe we will limit the ability of a small group of stockholders to</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unreasonably attempt to block our ability to complete our initial business combination, particularly in connection with a business combination with a target that requires as a closing condition that we have a minimum net worth or a certain amount of cash. We may waive this restriction in our sole discretion. However, we would not be restricting our stockholders’ ability to vote all of their shares (including Excess Shares) for or against our initial business combination. Our sponsor, officers and directors have, pursuant to a letter agreement entered into with us, waived their right to have any founder shares, private shares or public shares held by them redeemed in connection with our initial business combination. Unless any of our other affiliates acquires founder shares through a permitted transfer from an initial stockholder, and thereby becomes subject to the letter agreement, no such affiliate is subject to this waiver. However, to the extent any such affiliate acquires public shares in this offering or thereafter through open market purchases, it would be a public stockholder and restricted from seeking redemption rights with respect to any Excess Shares.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4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If we hold a stockholder meeting to approve a business combination, we may require our public stockholders seeking to exercise their redemption rights, whether they are record holders or hold their shares in “street name,” to either tender their certificates (if any) to our transfer agent up to two business days prior to the vote on the proposal to approve the business combination or to deliver their shares to the transfer agent electronically using The Depository Trust Company’s DWAC (Deposit/Withdrawal At Custodian) System, rather than simply voting against the initial business combination.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business combination to tender its shares if it wishes to seek to exercise its redemption rights. Pursuant to Delaware law,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133"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foregoing is different from the procedures historically used by many blank check companies. In the past,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general meeting, would become “option” rights surviving past the completion of the business combination until the redeeming holder delivered its certificate. The requirement for physical or electronic delivery prior to the general meeting ensures that a redeeming holder’s election to redeem is irrevocable once the business combination is approved.</w:t>
      </w:r>
    </w:p>
    <w:p>
      <w:pPr>
        <w:spacing w:after="0" w:line="115"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8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20"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12 months from the closing of this offering (or up to 18 months from the closing of this offering if we extend the period of time to consummate a business combination).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6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Our sponsor, officers and directors have agreed that we will have only 12 months from the closing of this offering to complete our initial business combination (or up to 18 months from the closing of this offering if we extend the period of time to consummate a business combination). If we are unable to complete our initial business combination within such 12-month period (or up to 18 months from the closing of this offering if we extend the period of time to consummate a business combination),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(which interest shall be net of taxes payable) divided by the number of then issued and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rights, which will be forfeited if we fail to complete our initial business combination within the 12 -month time period (or up to 18 months from the closing of this offering if we extend the period of time to consummate a business combination).</w:t>
      </w:r>
    </w:p>
    <w:p>
      <w:pPr>
        <w:spacing w:after="0" w:line="11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their founder shares and private shares if we fail to complete our initial business combination within 12 months from the closing of this offering (or up to 18 months from the closing of this offering if we extend the period of time to consummate a business combination). However, if our sponsor, officers or directors acquire public shares after this offering, they will be entitled to liquidating distributions from the trust account with respect to such public shares if we fail to complete our initial business combination within the allotted 12-month time period (or up to 18 months from the closing of this offering if we extend the period of time to consummate a business combination).</w:t>
      </w:r>
    </w:p>
    <w:p>
      <w:pPr>
        <w:spacing w:after="0" w:line="124"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Our sponsor, officers and directors have agreed, pursuant to a written letter agreement with us, that they will not propose any amendment to our amended and restated certificate of incorporation that would</w:t>
      </w:r>
    </w:p>
    <w:p>
      <w:pPr>
        <w:spacing w:after="0" w:line="1" w:lineRule="exact"/>
        <w:rPr>
          <w:sz w:val="20"/>
          <w:szCs w:val="20"/>
          <w:color w:val="auto"/>
        </w:rPr>
      </w:pPr>
    </w:p>
    <w:p>
      <w:pPr>
        <w:ind w:left="1260" w:right="419"/>
        <w:spacing w:after="0" w:line="235" w:lineRule="auto"/>
        <w:tabs>
          <w:tab w:leader="none" w:pos="14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the substance or timing of our obligation to allow redemption in connection with our initial business combination or to redeem 100% of our public shares if we do not complete our initial business combination within 12 months from the closing of this offering (or up to 18 months from the closing of this offering if we extend the period of time to consummate a business combination) or (ii) with respect to the other provisions relating to stockholders’ rights or pre-business combination activity, unless we provide our public stockholders with the opportunity to redeem their common stock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will only redeem our public shares so long as (after such redemption) our net tangible assets will be at least $5,000,001 either immediately prior to or upon consummation of our initial business combination and after payment of underwriters’ fees and commissions. If this optional</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8" w:lineRule="auto"/>
        <w:rPr>
          <w:sz w:val="20"/>
          <w:szCs w:val="20"/>
          <w:color w:val="auto"/>
        </w:rPr>
      </w:pPr>
      <w:r>
        <w:rPr>
          <w:rFonts w:ascii="Arial" w:cs="Arial" w:eastAsia="Arial" w:hAnsi="Arial"/>
          <w:sz w:val="18"/>
          <w:szCs w:val="18"/>
          <w:color w:val="auto"/>
        </w:rPr>
        <w:t>redemption right is exercised with respect to an excessive number of public shares such that we cannot satisfy the net tangible asset requirement (described above), we would not proceed with the amendment or the related redemption of our public shares.</w:t>
      </w:r>
    </w:p>
    <w:p>
      <w:pPr>
        <w:spacing w:after="0" w:line="101"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2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units, other than the proceeds deposited in the trust account, and without taking into account interest, if any, earned on the trust account, the per-share redemption amount received by stockholders upon our dissolution would be approximately $10.10.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$10.10. While we intend to pay such amounts, if any, we cannot assure you that we will have funds sufficient to pay or provide for all creditors’ claims.</w:t>
      </w:r>
    </w:p>
    <w:p>
      <w:pPr>
        <w:spacing w:after="0" w:line="113"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7"/>
          <w:szCs w:val="17"/>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(i) $10.10 per public share or (ii) such lesser amount per public share held in the trust account as of the date of the liquidation of the trust account, due to reductions in value of the trust assets, in each case net of the amount of interest which may be withdrawn to pay taxes. This liability will not apply with respect to any claims by a third party who executed a waiver of any and all rights to seek access to the trust account and except as to any claims under our indemnity of the underwriters of this offering against certain liabilities, including liabilities under the Securities Act. Because we are a blank check company, rather than an operating company, and our operations will be limited to searching for prospective target businesses to acquire, the only third parties we currently expect to engage would be vendors such as lawyers, investment bankers, computer or information and technical services providers or prospective target businesses. In the event that an executed waiver is deemed to be unenforceable against a third party, then our sponsor will not be responsible to the extent of any liability for such third-party claims. We have not independently verified whether our sponsor has sufficient funds to</w:t>
      </w: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color w:val="auto"/>
        </w:rPr>
        <w:t>satisfy their indemnity obligations and believe that our sponsor’s only assets are securities of our company. None of our other officers will indemnify us for claims by third parties including, without limitation, claims by vendors and prospective target businesses.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the proceeds in the trust account are reduced below (i) $10.10 per public share or</w:t>
      </w:r>
    </w:p>
    <w:p>
      <w:pPr>
        <w:spacing w:after="0" w:line="23" w:lineRule="exact"/>
        <w:rPr>
          <w:sz w:val="20"/>
          <w:szCs w:val="20"/>
          <w:color w:val="auto"/>
        </w:rPr>
      </w:pPr>
    </w:p>
    <w:p>
      <w:pPr>
        <w:ind w:left="1260" w:right="459"/>
        <w:spacing w:after="0" w:line="236" w:lineRule="auto"/>
        <w:tabs>
          <w:tab w:leader="none" w:pos="15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$10.10 per share.</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seek to reduce the possibility that our sponsor will have to indemnify the trust account due to</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claims of creditors by endeavoring to have all vendors, service providers (other than our independent</w:t>
      </w:r>
    </w:p>
    <w:p>
      <w:pPr>
        <w:ind w:left="1260"/>
        <w:spacing w:after="0"/>
        <w:rPr>
          <w:sz w:val="20"/>
          <w:szCs w:val="20"/>
          <w:color w:val="auto"/>
        </w:rPr>
      </w:pPr>
      <w:r>
        <w:rPr>
          <w:rFonts w:ascii="Arial" w:cs="Arial" w:eastAsia="Arial" w:hAnsi="Arial"/>
          <w:sz w:val="16"/>
          <w:szCs w:val="16"/>
          <w:color w:val="auto"/>
        </w:rPr>
        <w:t>auditors), prospective target businesses or other entities with which we do business execute agreements with</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waiving any right, title, interest or claim of any kind in or to monies held in the trust account. Our</w:t>
      </w:r>
    </w:p>
    <w:p>
      <w:pPr>
        <w:ind w:left="1260"/>
        <w:spacing w:after="0" w:line="234" w:lineRule="auto"/>
        <w:rPr>
          <w:sz w:val="20"/>
          <w:szCs w:val="20"/>
          <w:color w:val="auto"/>
        </w:rPr>
      </w:pPr>
      <w:r>
        <w:rPr>
          <w:rFonts w:ascii="Arial" w:cs="Arial" w:eastAsia="Arial" w:hAnsi="Arial"/>
          <w:sz w:val="18"/>
          <w:szCs w:val="18"/>
          <w:color w:val="auto"/>
        </w:rPr>
        <w:t>sponsor will also not be liable as to any claims under our indemnity of the underwriters of this offering</w:t>
      </w:r>
    </w:p>
    <w:p>
      <w:pPr>
        <w:ind w:left="1260"/>
        <w:spacing w:after="0" w:line="235" w:lineRule="auto"/>
        <w:rPr>
          <w:sz w:val="20"/>
          <w:szCs w:val="20"/>
          <w:color w:val="auto"/>
        </w:rPr>
      </w:pPr>
      <w:r>
        <w:rPr>
          <w:rFonts w:ascii="Arial" w:cs="Arial" w:eastAsia="Arial" w:hAnsi="Arial"/>
          <w:sz w:val="18"/>
          <w:szCs w:val="18"/>
          <w:color w:val="auto"/>
        </w:rPr>
        <w:t>against certain liabilities, including liabilities under the Securities Act. We will have access to up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$1,000,000 from the proceeds of this offering and the sale of the private placement units, with which to pay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such potential claims. In the event that we liquidate and it is subsequently determined that the reserve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claims and liabilities is insufficient, stockholders who received funds from our trust account could be</w:t>
      </w:r>
    </w:p>
    <w:p>
      <w:pPr>
        <w:ind w:left="1260"/>
        <w:spacing w:after="0" w:line="234" w:lineRule="auto"/>
        <w:rPr>
          <w:sz w:val="20"/>
          <w:szCs w:val="20"/>
          <w:color w:val="auto"/>
        </w:rPr>
      </w:pPr>
      <w:r>
        <w:rPr>
          <w:rFonts w:ascii="Arial" w:cs="Arial" w:eastAsia="Arial" w:hAnsi="Arial"/>
          <w:sz w:val="18"/>
          <w:szCs w:val="18"/>
          <w:color w:val="auto"/>
        </w:rPr>
        <w:t>liable for claims made by creditors. In the event that our offering expenses exceed our estimate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$1,000,000, we may fund such excess with funds from the funds not to be held in the trust account. In such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case, the amount of funds we intend to be held outside the trust account would decrease by a corresponding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amount. Conversely, in the event that the offering expenses are less than our estimate of $1,000,000,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amount of funds we intend to be held outside the trust account would increase by a corresponding amount.</w:t>
      </w:r>
    </w:p>
    <w:p>
      <w:pPr>
        <w:spacing w:after="0" w:line="14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If we file a bankruptcy or winding-up petition or an involuntary bankruptcy or winding-up petition is filed against us that is not dismissed, the proceeds held in the trust account could be subject to applicable bankruptcy or insolvency laws, and may be included in our bankruptcy or insolvency estate and subject to the claims of third parties with priority over the claims of our stockholders. To the extent any bankruptcy or insolvency claims deplete the trust account, we cannot assure you we will be able to return $10.10 per share to our public stockholders. Additionally, if we file a bankruptcy or winding-up petition or an involuntary bankruptcy or winding-up petition is filed against us that is not dismissed, any distributions received by stockholders could be viewed under applicable debtor/creditor and/or bankruptcy or insolvency laws as either a “preferential transfer” or a “fraudulent conveyance.” As a result, a bankruptcy or insolvency court could seek to recover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public stockholders will be entitled to receive funds from the trust account only upon the earlier of</w:t>
      </w:r>
    </w:p>
    <w:p>
      <w:pPr>
        <w:spacing w:after="0" w:line="35" w:lineRule="exact"/>
        <w:rPr>
          <w:sz w:val="20"/>
          <w:szCs w:val="20"/>
          <w:color w:val="auto"/>
        </w:rPr>
      </w:pPr>
    </w:p>
    <w:p>
      <w:pPr>
        <w:ind w:left="1260" w:right="439"/>
        <w:spacing w:after="0" w:line="265" w:lineRule="auto"/>
        <w:tabs>
          <w:tab w:leader="none" w:pos="148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any public shares properly tendered in connection with a stockholder vote to amend our amended and restated certificate of incorporation to (A) modify the substance or timing of our obligation to allow redemption in connection with our initial business combination or to redeem 100% of our public shares if we do not complete our initial business combination within 12 months from the closing of this offering (or up to 18 months from the closing of this offering if we extend the period of time to consummate a business combination) or (B) with respect to any other provision relating to stockholders’ rights or pre-business combination activity and</w:t>
      </w:r>
    </w:p>
    <w:p>
      <w:pPr>
        <w:spacing w:after="0" w:line="1" w:lineRule="exact"/>
        <w:rPr>
          <w:rFonts w:ascii="Arial" w:cs="Arial" w:eastAsia="Arial" w:hAnsi="Arial"/>
          <w:sz w:val="17"/>
          <w:szCs w:val="17"/>
          <w:color w:val="auto"/>
        </w:rPr>
      </w:pPr>
    </w:p>
    <w:p>
      <w:pPr>
        <w:ind w:left="1260" w:right="499"/>
        <w:spacing w:after="0" w:line="277" w:lineRule="auto"/>
        <w:tabs>
          <w:tab w:leader="none" w:pos="15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redemption of all of our public shares if we are unable to complete our initial business combination within 12 months from the closing of this offering (or up to 18 months from the closing of this offering if we extend the period of time to consummate a business combination), subject to applicable law. In no other</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w:t>
      </w:r>
    </w:p>
    <w:p>
      <w:pPr>
        <w:spacing w:after="0" w:line="10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60 -day notice period during which any third-party claims can be brought against the corporation, a 90- 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12th month from the closing of this offering (or up to 18th month from the closing of this offering if we extend the period of time to consummate a business combination)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2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1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third-party that refused to execute a waiver would be the engagement of a third-party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is also no guarantee that, even if they execute such agreements with us, they will not seek recourse against the trust account. Our sponsor has agreed that it will be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However, our sponsor may not be able to satisfy its indemnification obligations, as we have not required our sponsor to retain any assets to provide for its indemnification obligations, nor have we taken any further steps to ensure that it will be able to satisfy any indemnification obligations that arise. Moreover, our sponsor will not be liable to our public stockholders and instead will only have liability to us. As a result, if we liquidate, the per-share distribution from the trust account could be less than approximately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17"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$100,000)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private shares and any public shares they may hold in connection with any vote to amend our certificate of incorporation. Specifically, our certificate of incorporation provides, among other things, that:</w:t>
      </w:r>
    </w:p>
    <w:p>
      <w:pPr>
        <w:spacing w:after="0" w:line="62" w:lineRule="exact"/>
        <w:rPr>
          <w:sz w:val="20"/>
          <w:szCs w:val="20"/>
          <w:color w:val="auto"/>
        </w:rPr>
      </w:pPr>
    </w:p>
    <w:p>
      <w:pPr>
        <w:ind w:left="1800" w:right="459" w:hanging="180"/>
        <w:spacing w:after="0" w:line="271"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70" w:lineRule="exact"/>
        <w:rPr>
          <w:rFonts w:ascii="Arial" w:cs="Arial" w:eastAsia="Arial" w:hAnsi="Arial"/>
          <w:sz w:val="17"/>
          <w:szCs w:val="17"/>
          <w:color w:val="auto"/>
        </w:rPr>
      </w:pPr>
    </w:p>
    <w:p>
      <w:pPr>
        <w:ind w:left="1800" w:right="659" w:hanging="180"/>
        <w:spacing w:after="0" w:line="259"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59"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12 months the closing of this offering (or up to 18 months from the closing of this offering if we extend the period of time to consummate a business combination), then our existence will terminate and we will distribute all amounts in the trust account to all of our public holders of shares of common stock;</w:t>
      </w:r>
    </w:p>
    <w:p>
      <w:pPr>
        <w:spacing w:after="0" w:line="6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consummation of this offering, $151,500,000, or $174,225,000 if the over-allotment option is exercised in full, shall be placed into the trust account;</w:t>
      </w:r>
    </w:p>
    <w:p>
      <w:pPr>
        <w:spacing w:after="0" w:line="48"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80" w:lineRule="exact"/>
        <w:rPr>
          <w:sz w:val="20"/>
          <w:szCs w:val="20"/>
          <w:color w:val="auto"/>
        </w:rPr>
      </w:pPr>
    </w:p>
    <w:p>
      <w:pPr>
        <w:ind w:left="1800" w:right="103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62"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65"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48"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48" w:lineRule="exact"/>
        <w:rPr>
          <w:rFonts w:ascii="Arial" w:cs="Arial" w:eastAsia="Arial" w:hAnsi="Arial"/>
          <w:sz w:val="18"/>
          <w:szCs w:val="18"/>
          <w:color w:val="auto"/>
        </w:rPr>
      </w:pPr>
    </w:p>
    <w:p>
      <w:pPr>
        <w:jc w:val="both"/>
        <w:ind w:left="1800" w:right="1359" w:hanging="180"/>
        <w:spacing w:after="0" w:line="308"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 and</w:t>
      </w:r>
    </w:p>
    <w:p>
      <w:pPr>
        <w:spacing w:after="0" w:line="24"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49" w:lineRule="exact"/>
        <w:rPr>
          <w:sz w:val="20"/>
          <w:szCs w:val="20"/>
          <w:color w:val="auto"/>
        </w:rPr>
      </w:pPr>
    </w:p>
    <w:p>
      <w:pPr>
        <w:jc w:val="both"/>
        <w:ind w:left="1800" w:right="47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62"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03"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has fiduciary obligations to us requiring that he or she act in our best interests and the best interests of our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17" w:lineRule="exact"/>
        <w:rPr>
          <w:sz w:val="20"/>
          <w:szCs w:val="20"/>
          <w:color w:val="auto"/>
        </w:rPr>
      </w:pPr>
    </w:p>
    <w:p>
      <w:pPr>
        <w:ind w:left="1800" w:right="49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48"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 to redeem shares of common stock held by our public stockholders may reduce the resources available to us for our initial business combination;</w:t>
      </w:r>
    </w:p>
    <w:p>
      <w:pPr>
        <w:spacing w:after="0" w:line="62"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 to pay EarlyBirdCapital an aggregate fee of 3.5% of the gross proceeds of this offering upon consummation of our initial business combination pursuant to the business combination marketing agreement, as described under the section titled “Underwriting — Business Combination Marketing Agreement”;</w:t>
      </w:r>
    </w:p>
    <w:p>
      <w:pPr>
        <w:spacing w:after="0" w:line="78"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or their affiliates;</w:t>
      </w:r>
    </w:p>
    <w:p>
      <w:pPr>
        <w:spacing w:after="0" w:line="48"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obligation to register the resale of the founder shares, as well as the private units (and underlying securities), the representative founder shares, and any shares issued to our insiders or their affiliates upon conversion of working capital loans; and</w:t>
      </w:r>
    </w:p>
    <w:p>
      <w:pPr>
        <w:spacing w:after="0" w:line="7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1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 held entities having a similar business objective as ours in connection with an initial business combination with a target business with significant growth potential on favorable terms.</w:t>
      </w:r>
    </w:p>
    <w:p>
      <w:pPr>
        <w:spacing w:after="0" w:line="10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Our officers and directors presently have, and any of them in the future may have additional, fiduciary or contractual obligations to other entities, including, Americas Technology Acquisition Corp.</w:t>
      </w:r>
    </w:p>
    <w:p>
      <w:pPr>
        <w:ind w:left="1260" w:right="499"/>
        <w:spacing w:after="0" w:line="270" w:lineRule="auto"/>
        <w:rPr>
          <w:sz w:val="20"/>
          <w:szCs w:val="20"/>
          <w:color w:val="auto"/>
        </w:rPr>
      </w:pPr>
      <w:r>
        <w:rPr>
          <w:rFonts w:ascii="Arial" w:cs="Arial" w:eastAsia="Arial" w:hAnsi="Arial"/>
          <w:sz w:val="16"/>
          <w:szCs w:val="16"/>
          <w:color w:val="auto"/>
        </w:rPr>
        <w:t>(NYSE: ATA.U), a special purpose acquisition company (“SPAC”) that consummated its initial public offering in December 2020 and is currently in the process of searching for a business combination target, Pursuant to such fiduciary duties, such officer or director is or will be required to present a business combination opportunity to such other entities subject to his or her fiduciary duties. Subject to his or her fiduciary duties under Delaware law, none of the members of our management team who are also employed by our sponsor or its affiliates have any obligation to present us with any opportunity for a potential business combination of which they become aware. If any of our officers or directors becomes aware of a</w:t>
      </w: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4" w:lineRule="auto"/>
        <w:rPr>
          <w:sz w:val="20"/>
          <w:szCs w:val="20"/>
          <w:color w:val="auto"/>
        </w:rPr>
      </w:pPr>
      <w:r>
        <w:rPr>
          <w:rFonts w:ascii="Arial" w:cs="Arial" w:eastAsia="Arial" w:hAnsi="Arial"/>
          <w:sz w:val="17"/>
          <w:szCs w:val="17"/>
          <w:color w:val="auto"/>
        </w:rPr>
        <w:t>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subject to his or her fiduciary duties under Delaware law and any other applicable fiduciary duties, and only present it to us if such entity rejects the opportunity.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compete on a reasonable basis.</w:t>
      </w:r>
    </w:p>
    <w:p>
      <w:pPr>
        <w:spacing w:after="0" w:line="10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to our sponsor, members of our management team will directly or indirectly own our common stock and/or private placement units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Additionally, we have engaged EarlyBirdCapital to assist us in connection with our initial business combination. We have engaged EarlyBirdCapital to assist us in connection with our initial business combination. We will pay EarlyBirdCapital a cash fee for such services upon the consummation of our initial business combination in an aggregate amount equal to 3.5% of the total gross proceeds raised in the offering. We will also pay EarlyBirdCapital a cash fee of 1.0% of the total consideration payable in a proposed business combination if EarlyBirdCapital introduces us to the target business with which we complete a business combination. The representative founder shares will also be worthless if we do not consummate an initial business combination. These financial interests may result in the underwriters having a conflict of interest when providing the services to us in connection with an initial business combination. For more information on the arrangements with the underwriters, see the section titled “Underwriting.”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Indemnity</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our indemnity of the underwriters of this offering against certain liabilities, including liabilities under the Securities Act. Because we are a blank check company, rather than an operating company, and our operations will be limited to searching for prospective target businesses to acquire, the only third parties we currently expect to engage would be vendors such as lawyers, accountants, investment bankers, computer or information and technical services providers or prospective target businesses. Moreover, in the event that an executed waiver is deemed to be unenforceable against a third party, our sponsor will not be responsible to the extent of any liability for such third party claims. We have not independently verified whether our sponsor has sufficient funds to satisfy their indemnity obligations and believe that our sponsor’s only assets are securities of our company. We have not asked our sponsor to reserve for such obligations.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currently maintain our principal executive offices at 16400 Dallas Parkway Dallas, Texas 75248.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Fifth Partners, an affiliate of our sponsor and certain of our director nominees, has agreed that, commencing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the date of this prospectus through the earlier of our consummation of our initial business combination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liquidation, it will make available to us certain general and administrative services, including office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space, utilities and secretarial support, as we may require from time to time. We will pay Fifth Partners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$13,000 per month for providing such services to us commencing on the date of this prospectus pursuant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 Advisory Agreement between us and Fifth Partners.</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full-time employees prior to the consummation of our initial business combination.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We have registered our units, common stock and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14"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year ending December 31, 2022.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Escrow of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40"/>
        <w:spacing w:after="0" w:line="482" w:lineRule="auto"/>
        <w:rPr>
          <w:sz w:val="20"/>
          <w:szCs w:val="20"/>
          <w:color w:val="auto"/>
        </w:rPr>
      </w:pPr>
      <w:r>
        <w:rPr>
          <w:rFonts w:ascii="Arial" w:cs="Arial" w:eastAsia="Arial" w:hAnsi="Arial"/>
          <w:sz w:val="13"/>
          <w:szCs w:val="13"/>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7830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$151,500,000 of the net proceeds of this offering and the sale of the private units will be deposited into a trust account located in the United States with Continental Stock Transfer &amp; Trust Company acting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$151,500,000 of the net offering proceeds and proceeds from the sale of the private units held in trust will be invested only in U.S. government treasury bills with a maturity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185 days or less or in money market funds meeting certain conditions under Rule 2a-7 under the Investment Company Act which invest only in direct U.S. government treasury obligations. We must complete one or more business combinations having an aggregate fair market value of at least 80% of our assets held in the trust account (excluding any taxes payable on the income earned on the trust account) at the time of the agreement to enter into the initial business combination.</w:t>
      </w:r>
    </w:p>
    <w:p>
      <w:pPr>
        <w:spacing w:after="0" w:line="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units will begin trading on or promptly after the date of this prospectus. The shares of common stock and rights comprising the units will begin separate trading on the</w:t>
      </w:r>
    </w:p>
    <w:p>
      <w:pPr>
        <w:ind w:right="120"/>
        <w:spacing w:after="0" w:line="263" w:lineRule="auto"/>
        <w:rPr>
          <w:sz w:val="20"/>
          <w:szCs w:val="20"/>
          <w:color w:val="auto"/>
        </w:rPr>
      </w:pPr>
      <w:r>
        <w:rPr>
          <w:rFonts w:ascii="Arial" w:cs="Arial" w:eastAsia="Arial" w:hAnsi="Arial"/>
          <w:sz w:val="17"/>
          <w:szCs w:val="17"/>
          <w:color w:val="auto"/>
        </w:rPr>
        <w:t>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date of this prospectus unless EarlyBirdCapital informs us of its decision to allow earlier separate trading(based upon its assessment of the relative strengths of the securities markets and small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7" w:lineRule="exact"/>
        <w:rPr>
          <w:sz w:val="20"/>
          <w:szCs w:val="20"/>
          <w:color w:val="auto"/>
        </w:rPr>
      </w:pPr>
    </w:p>
    <w:p>
      <w:pPr>
        <w:ind w:right="419"/>
        <w:spacing w:after="0" w:line="267" w:lineRule="auto"/>
        <w:rPr>
          <w:sz w:val="20"/>
          <w:szCs w:val="20"/>
          <w:color w:val="auto"/>
        </w:rPr>
      </w:pPr>
      <w:r>
        <w:rPr>
          <w:rFonts w:ascii="Arial" w:cs="Arial" w:eastAsia="Arial" w:hAnsi="Arial"/>
          <w:sz w:val="17"/>
          <w:szCs w:val="17"/>
          <w:color w:val="auto"/>
        </w:rPr>
        <w:t>Approximately $132,300,000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 w:lineRule="exact"/>
        <w:rPr>
          <w:sz w:val="20"/>
          <w:szCs w:val="20"/>
          <w:color w:val="auto"/>
        </w:rPr>
      </w:pPr>
    </w:p>
    <w:p>
      <w:pPr>
        <w:ind w:right="499"/>
        <w:spacing w:after="0" w:line="29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39"/>
        <w:spacing w:after="0" w:line="259"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No trading of the units or the underlying shares of common stock and rights would be permitted until the completion of a business combination. During this period, the securities would be held in the escrow or trust account.</w:t>
      </w:r>
    </w:p>
    <w:p>
      <w:pPr>
        <w:spacing w:after="0" w:line="1282" w:lineRule="exact"/>
        <w:rPr>
          <w:sz w:val="20"/>
          <w:szCs w:val="20"/>
          <w:color w:val="auto"/>
        </w:rPr>
      </w:pPr>
    </w:p>
    <w:p>
      <w:pPr>
        <w:sectPr>
          <w:pgSz w:w="11900" w:h="16838" w:orient="portrait"/>
          <w:cols w:equalWidth="0" w:num="3">
            <w:col w:w="3300" w:space="340"/>
            <w:col w:w="2780" w:space="240"/>
            <w:col w:w="3219"/>
          </w:cols>
          <w:pgMar w:left="580" w:top="131" w:right="1440" w:bottom="1440" w:gutter="0" w:footer="0" w:header="0"/>
          <w:type w:val="continuous"/>
        </w:sectPr>
      </w:pPr>
    </w:p>
    <w:p>
      <w:pPr>
        <w:spacing w:after="0" w:line="1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tc>
        <w:tc>
          <w:tcPr>
            <w:tcW w:w="2800" w:type="dxa"/>
            <w:vAlign w:val="bottom"/>
          </w:tcPr>
          <w:p>
            <w:pPr>
              <w:spacing w:after="0"/>
              <w:rPr>
                <w:sz w:val="14"/>
                <w:szCs w:val="14"/>
                <w:color w:val="auto"/>
              </w:rPr>
            </w:pPr>
          </w:p>
        </w:tc>
      </w:tr>
      <w:tr>
        <w:trPr>
          <w:trHeight w:val="972"/>
        </w:trPr>
        <w:tc>
          <w:tcPr>
            <w:tcW w:w="3640" w:type="dxa"/>
            <w:vAlign w:val="bottom"/>
          </w:tcPr>
          <w:p>
            <w:pPr>
              <w:spacing w:after="0"/>
              <w:rPr>
                <w:sz w:val="24"/>
                <w:szCs w:val="24"/>
                <w:color w:val="auto"/>
              </w:rPr>
            </w:pPr>
          </w:p>
        </w:tc>
        <w:tc>
          <w:tcPr>
            <w:tcW w:w="280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36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2"/>
        </w:trPr>
        <w:tc>
          <w:tcPr>
            <w:tcW w:w="36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capitalization companies in general,</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and the trading pattern of, and</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demand for, our securities in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particular), provided we have filed</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with the SEC a Current Report on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5"/>
              </w:rPr>
              <w:t>Form 8-K, which includes an audited</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balance sheet reflecting our receipt</w:t>
            </w:r>
          </w:p>
        </w:tc>
      </w:tr>
      <w:tr>
        <w:trPr>
          <w:trHeight w:val="230"/>
        </w:trPr>
        <w:tc>
          <w:tcPr>
            <w:tcW w:w="36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of the proceeds of this offering.</w:t>
            </w:r>
          </w:p>
        </w:tc>
      </w:tr>
      <w:tr>
        <w:trPr>
          <w:trHeight w:val="242"/>
        </w:trPr>
        <w:tc>
          <w:tcPr>
            <w:tcW w:w="3640" w:type="dxa"/>
            <w:vAlign w:val="bottom"/>
          </w:tcPr>
          <w:p>
            <w:pPr>
              <w:ind w:left="1260"/>
              <w:spacing w:after="0"/>
              <w:rPr>
                <w:sz w:val="20"/>
                <w:szCs w:val="20"/>
                <w:color w:val="auto"/>
              </w:rPr>
            </w:pPr>
            <w:r>
              <w:rPr>
                <w:rFonts w:ascii="Arial" w:cs="Arial" w:eastAsia="Arial" w:hAnsi="Arial"/>
                <w:sz w:val="18"/>
                <w:szCs w:val="18"/>
                <w:b w:val="1"/>
                <w:bCs w:val="1"/>
                <w:color w:val="auto"/>
              </w:rPr>
              <w:t>Exercise of the rights</w:t>
            </w:r>
          </w:p>
        </w:tc>
        <w:tc>
          <w:tcPr>
            <w:tcW w:w="2800" w:type="dxa"/>
            <w:vAlign w:val="bottom"/>
          </w:tcPr>
          <w:p>
            <w:pPr>
              <w:spacing w:after="0"/>
              <w:rPr>
                <w:sz w:val="20"/>
                <w:szCs w:val="20"/>
                <w:color w:val="auto"/>
              </w:rPr>
            </w:pPr>
            <w:r>
              <w:rPr>
                <w:rFonts w:ascii="Arial" w:cs="Arial" w:eastAsia="Arial" w:hAnsi="Arial"/>
                <w:sz w:val="18"/>
                <w:szCs w:val="18"/>
                <w:color w:val="auto"/>
                <w:w w:val="97"/>
              </w:rPr>
              <w:t>The rights cannot be exercised until</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 completion of a business</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combination and, accordingly, will</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be exercised only after the trust</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account has been terminated and</w:t>
            </w:r>
          </w:p>
        </w:tc>
      </w:tr>
      <w:tr>
        <w:trPr>
          <w:trHeight w:val="230"/>
        </w:trPr>
        <w:tc>
          <w:tcPr>
            <w:tcW w:w="36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distributed</w:t>
            </w:r>
          </w:p>
        </w:tc>
      </w:tr>
      <w:tr>
        <w:trPr>
          <w:trHeight w:val="238"/>
        </w:trPr>
        <w:tc>
          <w:tcPr>
            <w:tcW w:w="3640" w:type="dxa"/>
            <w:vAlign w:val="bottom"/>
          </w:tcPr>
          <w:p>
            <w:pPr>
              <w:ind w:left="1260"/>
              <w:spacing w:after="0"/>
              <w:rPr>
                <w:sz w:val="20"/>
                <w:szCs w:val="20"/>
                <w:color w:val="auto"/>
              </w:rPr>
            </w:pPr>
            <w:r>
              <w:rPr>
                <w:rFonts w:ascii="Arial" w:cs="Arial" w:eastAsia="Arial" w:hAnsi="Arial"/>
                <w:sz w:val="18"/>
                <w:szCs w:val="18"/>
                <w:b w:val="1"/>
                <w:bCs w:val="1"/>
                <w:color w:val="auto"/>
              </w:rPr>
              <w:t>Election to remain an</w:t>
            </w:r>
          </w:p>
        </w:tc>
        <w:tc>
          <w:tcPr>
            <w:tcW w:w="2800" w:type="dxa"/>
            <w:vAlign w:val="bottom"/>
          </w:tcPr>
          <w:p>
            <w:pPr>
              <w:spacing w:after="0"/>
              <w:rPr>
                <w:sz w:val="20"/>
                <w:szCs w:val="20"/>
                <w:color w:val="auto"/>
              </w:rPr>
            </w:pPr>
            <w:r>
              <w:rPr>
                <w:rFonts w:ascii="Arial" w:cs="Arial" w:eastAsia="Arial" w:hAnsi="Arial"/>
                <w:sz w:val="18"/>
                <w:szCs w:val="18"/>
                <w:color w:val="auto"/>
              </w:rPr>
              <w:t>We will either (i) give our</w:t>
            </w:r>
          </w:p>
        </w:tc>
      </w:tr>
      <w:tr>
        <w:trPr>
          <w:trHeight w:val="220"/>
        </w:trPr>
        <w:tc>
          <w:tcPr>
            <w:tcW w:w="3640" w:type="dxa"/>
            <w:vAlign w:val="bottom"/>
          </w:tcPr>
          <w:p>
            <w:pPr>
              <w:ind w:left="1260"/>
              <w:spacing w:after="0"/>
              <w:rPr>
                <w:sz w:val="20"/>
                <w:szCs w:val="20"/>
                <w:color w:val="auto"/>
              </w:rPr>
            </w:pPr>
            <w:r>
              <w:rPr>
                <w:rFonts w:ascii="Arial" w:cs="Arial" w:eastAsia="Arial" w:hAnsi="Arial"/>
                <w:sz w:val="18"/>
                <w:szCs w:val="18"/>
                <w:b w:val="1"/>
                <w:bCs w:val="1"/>
                <w:color w:val="auto"/>
              </w:rPr>
              <w:t>investor</w:t>
            </w:r>
          </w:p>
        </w:tc>
        <w:tc>
          <w:tcPr>
            <w:tcW w:w="2800" w:type="dxa"/>
            <w:vAlign w:val="bottom"/>
          </w:tcPr>
          <w:p>
            <w:pPr>
              <w:spacing w:after="0"/>
              <w:rPr>
                <w:sz w:val="20"/>
                <w:szCs w:val="20"/>
                <w:color w:val="auto"/>
              </w:rPr>
            </w:pPr>
            <w:r>
              <w:rPr>
                <w:rFonts w:ascii="Arial" w:cs="Arial" w:eastAsia="Arial" w:hAnsi="Arial"/>
                <w:sz w:val="18"/>
                <w:szCs w:val="18"/>
                <w:color w:val="auto"/>
                <w:w w:val="97"/>
              </w:rPr>
              <w:t>stockholders the opportunity to vote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on the business combination or</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(ii) provide our public stockholders</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with the opportunity to sell their</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shares of our common stock for cash</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equal to their pro rata share of the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aggregate amount then on deposit in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 trust account, less taxes. If we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hold a meeting to approve a</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proposed business combination, we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will send each stockholder a proxy</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statement containing information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required by the SEC. Alternatively,</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if we do not hold a meeting and</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instead conduct a tender offer, we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will conduct such tender offer in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accordance with the tender offer</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5"/>
              </w:rPr>
              <w:t>rules of the SEC and file tender offer</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documents with the SEC which will</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contain substantially the same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financial and other information</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about the initial business</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combination as we would have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included in a proxy statement. Under</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 law and our bylaws, we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must provide at least 10 days’</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advance notice of any meeting of</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5"/>
              </w:rPr>
              <w:t>stockholders. Accordingly, this is the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minimum amount of time we would</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need to provide holders to determine</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whether to exercise their rights to</w:t>
            </w:r>
          </w:p>
        </w:tc>
      </w:tr>
      <w:tr>
        <w:trPr>
          <w:trHeight w:val="216"/>
        </w:trPr>
        <w:tc>
          <w:tcPr>
            <w:tcW w:w="3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redeem their shares into cash or to</w:t>
            </w:r>
          </w:p>
        </w:tc>
      </w:tr>
      <w:tr>
        <w:trPr>
          <w:trHeight w:val="230"/>
        </w:trPr>
        <w:tc>
          <w:tcPr>
            <w:tcW w:w="36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remain an investor in our company.</w:t>
            </w:r>
          </w:p>
        </w:tc>
      </w:tr>
      <w:tr>
        <w:trPr>
          <w:trHeight w:val="904"/>
        </w:trPr>
        <w:tc>
          <w:tcPr>
            <w:tcW w:w="3640" w:type="dxa"/>
            <w:vAlign w:val="bottom"/>
          </w:tcPr>
          <w:p>
            <w:pPr>
              <w:spacing w:after="0"/>
              <w:rPr>
                <w:sz w:val="24"/>
                <w:szCs w:val="24"/>
                <w:color w:val="auto"/>
              </w:rPr>
            </w:pPr>
          </w:p>
        </w:tc>
        <w:tc>
          <w:tcPr>
            <w:tcW w:w="2800" w:type="dxa"/>
            <w:vAlign w:val="bottom"/>
          </w:tcPr>
          <w:p>
            <w:pPr>
              <w:ind w:left="1560"/>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783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59"/>
        <w:spacing w:after="0" w:line="273" w:lineRule="auto"/>
        <w:rPr>
          <w:sz w:val="20"/>
          <w:szCs w:val="20"/>
          <w:color w:val="auto"/>
        </w:rPr>
      </w:pPr>
      <w:r>
        <w:rPr>
          <w:rFonts w:ascii="Arial" w:cs="Arial" w:eastAsia="Arial" w:hAnsi="Arial"/>
          <w:sz w:val="17"/>
          <w:szCs w:val="17"/>
          <w:color w:val="auto"/>
        </w:rPr>
        <w:t>The rights could be exercised prior to the completion of a business combination, but securities received and cash paid in connection with the exercise would be deposited in the escrow or trust account.</w:t>
      </w:r>
    </w:p>
    <w:p>
      <w:pPr>
        <w:spacing w:after="0" w:line="2" w:lineRule="exact"/>
        <w:rPr>
          <w:sz w:val="20"/>
          <w:szCs w:val="20"/>
          <w:color w:val="auto"/>
        </w:rPr>
      </w:pPr>
    </w:p>
    <w:p>
      <w:pPr>
        <w:ind w:right="439"/>
        <w:spacing w:after="0" w:line="266"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45th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440" w:space="220"/>
            <w:col w:w="321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line="347" w:lineRule="auto"/>
        <w:rPr>
          <w:sz w:val="20"/>
          <w:szCs w:val="20"/>
          <w:color w:val="auto"/>
        </w:rPr>
      </w:pPr>
      <w:r>
        <w:rPr>
          <w:rFonts w:ascii="Arial" w:cs="Arial" w:eastAsia="Arial" w:hAnsi="Arial"/>
          <w:sz w:val="16"/>
          <w:szCs w:val="16"/>
          <w:b w:val="1"/>
          <w:bCs w:val="1"/>
          <w:color w:val="auto"/>
        </w:rPr>
        <w:t>Interest earned on the funds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3"/>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4" w:right="40"/>
        <w:spacing w:after="0" w:line="266"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12 months from the closing of this offering (or up to 18 months from the closing of this offering if we extend the period of time to consummate a business combination),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w:t>
      </w:r>
    </w:p>
    <w:p>
      <w:pPr>
        <w:spacing w:after="0" w:line="1" w:lineRule="exact"/>
        <w:rPr>
          <w:sz w:val="20"/>
          <w:szCs w:val="20"/>
          <w:color w:val="auto"/>
        </w:rPr>
      </w:pPr>
    </w:p>
    <w:p>
      <w:pPr>
        <w:ind w:left="4" w:right="40" w:hanging="4"/>
        <w:spacing w:after="0" w:line="265"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our remaining stockholders and our board of directors, dissolve and liquidate, subject (in the case of</w:t>
      </w:r>
    </w:p>
    <w:p>
      <w:pPr>
        <w:ind w:left="4" w:right="60" w:hanging="4"/>
        <w:spacing w:after="0" w:line="253" w:lineRule="auto"/>
        <w:tabs>
          <w:tab w:leader="none" w:pos="2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and (iii) above) to our obligations under Delaware law to provide for claims of creditors and the requirements of other applicable law.</w:t>
      </w:r>
    </w:p>
    <w:p>
      <w:pPr>
        <w:spacing w:after="0" w:line="1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There can be released to us, from time to time, any interest earned on the funds in the trust account that we may need to pay our tax obligations.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Except for interest earned on the funds in the trust account that may be released to us to pay our tax obligations the proceeds held in the trust account will not be released until the earlier of the completion of our initial business combination and our liquidation upon failure to effect our initial business combination within the allotted time.</w:t>
      </w:r>
    </w:p>
    <w:p>
      <w:pPr>
        <w:spacing w:after="0" w:line="388" w:lineRule="exact"/>
        <w:rPr>
          <w:sz w:val="20"/>
          <w:szCs w:val="20"/>
          <w:color w:val="auto"/>
        </w:rPr>
      </w:pPr>
    </w:p>
    <w:p>
      <w:pPr>
        <w:ind w:left="1564"/>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250825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right="499"/>
        <w:spacing w:after="0" w:line="255"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79"/>
        <w:spacing w:after="0" w:line="254"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9" w:lineRule="exact"/>
        <w:rPr>
          <w:sz w:val="20"/>
          <w:szCs w:val="20"/>
          <w:color w:val="auto"/>
        </w:rPr>
      </w:pPr>
    </w:p>
    <w:p>
      <w:pPr>
        <w:ind w:right="559"/>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3">
            <w:col w:w="3320" w:space="316"/>
            <w:col w:w="2784" w:space="240"/>
            <w:col w:w="321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and officers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3720" w:type="dxa"/>
            <w:vAlign w:val="bottom"/>
          </w:tcPr>
          <w:p>
            <w:pPr>
              <w:ind w:left="1720"/>
              <w:spacing w:after="0"/>
              <w:rPr>
                <w:sz w:val="20"/>
                <w:szCs w:val="20"/>
                <w:color w:val="auto"/>
              </w:rPr>
            </w:pPr>
            <w:r>
              <w:rPr>
                <w:rFonts w:ascii="Arial" w:cs="Arial" w:eastAsia="Arial" w:hAnsi="Arial"/>
                <w:sz w:val="14"/>
                <w:szCs w:val="14"/>
                <w:b w:val="1"/>
                <w:bCs w:val="1"/>
                <w:color w:val="auto"/>
              </w:rPr>
              <w:t>Title</w:t>
            </w:r>
          </w:p>
        </w:tc>
      </w:tr>
      <w:tr>
        <w:trPr>
          <w:trHeight w:val="26"/>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50"/>
        </w:trPr>
        <w:tc>
          <w:tcPr>
            <w:tcW w:w="3940" w:type="dxa"/>
            <w:vAlign w:val="bottom"/>
            <w:gridSpan w:val="2"/>
          </w:tcPr>
          <w:p>
            <w:pPr>
              <w:spacing w:after="0"/>
              <w:rPr>
                <w:sz w:val="20"/>
                <w:szCs w:val="20"/>
                <w:color w:val="auto"/>
              </w:rPr>
            </w:pPr>
            <w:r>
              <w:rPr>
                <w:rFonts w:ascii="Arial" w:cs="Arial" w:eastAsia="Arial" w:hAnsi="Arial"/>
                <w:sz w:val="18"/>
                <w:szCs w:val="18"/>
                <w:color w:val="auto"/>
              </w:rPr>
              <w:t>Joseph Drysdale</w:t>
            </w:r>
          </w:p>
        </w:tc>
        <w:tc>
          <w:tcPr>
            <w:tcW w:w="300" w:type="dxa"/>
            <w:vAlign w:val="bottom"/>
          </w:tcPr>
          <w:p>
            <w:pPr>
              <w:ind w:left="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57"/>
        </w:trPr>
        <w:tc>
          <w:tcPr>
            <w:tcW w:w="3940" w:type="dxa"/>
            <w:vAlign w:val="bottom"/>
            <w:gridSpan w:val="2"/>
          </w:tcPr>
          <w:p>
            <w:pPr>
              <w:spacing w:after="0"/>
              <w:rPr>
                <w:sz w:val="20"/>
                <w:szCs w:val="20"/>
                <w:color w:val="auto"/>
              </w:rPr>
            </w:pPr>
            <w:r>
              <w:rPr>
                <w:rFonts w:ascii="Arial" w:cs="Arial" w:eastAsia="Arial" w:hAnsi="Arial"/>
                <w:sz w:val="18"/>
                <w:szCs w:val="18"/>
                <w:color w:val="auto"/>
              </w:rPr>
              <w:t>Daniel Jeffrey Kimes</w:t>
            </w:r>
          </w:p>
        </w:tc>
        <w:tc>
          <w:tcPr>
            <w:tcW w:w="300" w:type="dxa"/>
            <w:vAlign w:val="bottom"/>
          </w:tcPr>
          <w:p>
            <w:pPr>
              <w:ind w:lef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940" w:type="dxa"/>
            <w:vAlign w:val="bottom"/>
            <w:gridSpan w:val="2"/>
          </w:tcPr>
          <w:p>
            <w:pPr>
              <w:spacing w:after="0"/>
              <w:rPr>
                <w:sz w:val="20"/>
                <w:szCs w:val="20"/>
                <w:color w:val="auto"/>
              </w:rPr>
            </w:pPr>
            <w:r>
              <w:rPr>
                <w:rFonts w:ascii="Arial" w:cs="Arial" w:eastAsia="Arial" w:hAnsi="Arial"/>
                <w:sz w:val="18"/>
                <w:szCs w:val="18"/>
                <w:color w:val="auto"/>
              </w:rPr>
              <w:t>Rosemarie Cicalese</w:t>
            </w:r>
          </w:p>
        </w:tc>
        <w:tc>
          <w:tcPr>
            <w:tcW w:w="300" w:type="dxa"/>
            <w:vAlign w:val="bottom"/>
          </w:tcPr>
          <w:p>
            <w:pPr>
              <w:ind w:lef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3940" w:type="dxa"/>
            <w:vAlign w:val="bottom"/>
            <w:gridSpan w:val="2"/>
          </w:tcPr>
          <w:p>
            <w:pPr>
              <w:spacing w:after="0"/>
              <w:rPr>
                <w:sz w:val="20"/>
                <w:szCs w:val="20"/>
                <w:color w:val="auto"/>
              </w:rPr>
            </w:pPr>
            <w:r>
              <w:rPr>
                <w:rFonts w:ascii="Arial" w:cs="Arial" w:eastAsia="Arial" w:hAnsi="Arial"/>
                <w:sz w:val="18"/>
                <w:szCs w:val="18"/>
                <w:color w:val="auto"/>
              </w:rPr>
              <w:t>Brian Minnehan</w:t>
            </w:r>
          </w:p>
        </w:tc>
        <w:tc>
          <w:tcPr>
            <w:tcW w:w="300" w:type="dxa"/>
            <w:vAlign w:val="bottom"/>
          </w:tcPr>
          <w:p>
            <w:pPr>
              <w:ind w:left="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Alberto Pontonio</w:t>
            </w:r>
          </w:p>
        </w:tc>
        <w:tc>
          <w:tcPr>
            <w:tcW w:w="300" w:type="dxa"/>
            <w:vAlign w:val="bottom"/>
          </w:tcPr>
          <w:p>
            <w:pPr>
              <w:ind w:left="6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Lee Canaan</w:t>
            </w:r>
          </w:p>
        </w:tc>
        <w:tc>
          <w:tcPr>
            <w:tcW w:w="300" w:type="dxa"/>
            <w:vAlign w:val="bottom"/>
          </w:tcPr>
          <w:p>
            <w:pPr>
              <w:ind w:left="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Win Graham</w:t>
            </w:r>
          </w:p>
        </w:tc>
        <w:tc>
          <w:tcPr>
            <w:tcW w:w="300" w:type="dxa"/>
            <w:vAlign w:val="bottom"/>
          </w:tcPr>
          <w:p>
            <w:pPr>
              <w:ind w:left="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Joseph Colonnetta</w:t>
            </w:r>
          </w:p>
        </w:tc>
        <w:tc>
          <w:tcPr>
            <w:tcW w:w="300" w:type="dxa"/>
            <w:vAlign w:val="bottom"/>
          </w:tcPr>
          <w:p>
            <w:pPr>
              <w:ind w:left="6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consummation of this offering, our directors and officers will be as follows:</w:t>
      </w:r>
    </w:p>
    <w:p>
      <w:pPr>
        <w:spacing w:after="0" w:line="15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b w:val="1"/>
          <w:bCs w:val="1"/>
          <w:color w:val="auto"/>
        </w:rPr>
        <w:t>Joe Drysdale</w:t>
      </w:r>
      <w:r>
        <w:rPr>
          <w:rFonts w:ascii="Arial" w:cs="Arial" w:eastAsia="Arial" w:hAnsi="Arial"/>
          <w:sz w:val="18"/>
          <w:szCs w:val="18"/>
          <w:color w:val="auto"/>
        </w:rPr>
        <w:t>, our director and Chairman of the board, is the co-founder and a Managing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Fifth Partners, where he has overseen all real estate investment platforms since the firm was founded in 2015. Mr. Drysdale has over 15 years of investing and management experience, primarily in the real estate and energy sectors, as well as with early stage companies across diverse industries. He is an active member of various civic organizations in his community in Dallas, Texas. Mr. Drysdale received a B.A. from University of Texas.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b w:val="1"/>
          <w:bCs w:val="1"/>
          <w:color w:val="auto"/>
        </w:rPr>
        <w:t>Daniel Kimes</w:t>
      </w:r>
      <w:r>
        <w:rPr>
          <w:rFonts w:ascii="Arial" w:cs="Arial" w:eastAsia="Arial" w:hAnsi="Arial"/>
          <w:sz w:val="18"/>
          <w:szCs w:val="18"/>
          <w:color w:val="auto"/>
        </w:rPr>
        <w:t>, our director and Chief Executive Officer since inception, is a Managing Director at Arch</w:t>
      </w:r>
      <w:r>
        <w:rPr>
          <w:rFonts w:ascii="Arial" w:cs="Arial" w:eastAsia="Arial" w:hAnsi="Arial"/>
          <w:sz w:val="18"/>
          <w:szCs w:val="18"/>
          <w:b w:val="1"/>
          <w:bCs w:val="1"/>
          <w:color w:val="auto"/>
        </w:rPr>
        <w:t xml:space="preserve"> </w:t>
      </w:r>
      <w:r>
        <w:rPr>
          <w:rFonts w:ascii="Arial" w:cs="Arial" w:eastAsia="Arial" w:hAnsi="Arial"/>
          <w:sz w:val="18"/>
          <w:szCs w:val="18"/>
          <w:color w:val="auto"/>
        </w:rPr>
        <w:t>Energy Partners, where he has worked since April 2020 and is responsible for deal origination, underwriting, and risk mitigation. From January 2020 to March 2020, Mr. Kimes was an independent consultant. Prior to that, from September 2017 to December 2019, Mr. Kimes served as the co-founder, co-Chief Executive Officer and as a member of the board of directors of Shot Hollow Resources, LLC, a Carnelian Energy Capital portfolio company. Prior to Shot Hollow, from 2012 to 2017, Mr. Kimes served as the Chief Financial Officer, the interim Chief Executive Officer and as a member of the board of directors of Brigadier Oil &amp; Gas, LLC, a private equity-sponsored exploration and production company. Mr. Kimes previously worked for NGP Energy Capital Management (“NGP”), a private equity firm focused on investing in the energy sector from July 2006 to July 2008 and started his career working for RBC Capital Markets in their energy investment banking group. Mr. Kimes graduated Magna Cum Laude, Honors in Liberal Arts and Honors in Business from Southern Methodist University and earned a MBA from Stanford University. Mr. Kimes was the co-founder of the Dallas Chapter of Young Professionals in Energy and serves on the UT Dallas Energy Advisory Council. We believe Mr. Kimes is qualified to serve as a member of our Board of Directors due to his extensive experience in the energy sector including investment banking and private equity work.</w:t>
      </w:r>
    </w:p>
    <w:p>
      <w:pPr>
        <w:spacing w:after="0" w:line="114" w:lineRule="exact"/>
        <w:rPr>
          <w:sz w:val="20"/>
          <w:szCs w:val="20"/>
          <w:color w:val="auto"/>
        </w:rPr>
      </w:pPr>
    </w:p>
    <w:p>
      <w:pPr>
        <w:ind w:left="1260" w:right="579" w:firstLine="360"/>
        <w:spacing w:after="0" w:line="285" w:lineRule="auto"/>
        <w:rPr>
          <w:sz w:val="20"/>
          <w:szCs w:val="20"/>
          <w:color w:val="auto"/>
        </w:rPr>
      </w:pPr>
      <w:r>
        <w:rPr>
          <w:rFonts w:ascii="Arial" w:cs="Arial" w:eastAsia="Arial" w:hAnsi="Arial"/>
          <w:sz w:val="16"/>
          <w:szCs w:val="16"/>
          <w:b w:val="1"/>
          <w:bCs w:val="1"/>
          <w:color w:val="auto"/>
        </w:rPr>
        <w:t>Rosemarie Cicalese</w:t>
      </w:r>
      <w:r>
        <w:rPr>
          <w:rFonts w:ascii="Arial" w:cs="Arial" w:eastAsia="Arial" w:hAnsi="Arial"/>
          <w:sz w:val="16"/>
          <w:szCs w:val="16"/>
          <w:color w:val="auto"/>
        </w:rPr>
        <w:t>, our Chief Financial Officer since inception, has more than 15 years of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in finance, with a particular focus in the energy sector. She joined Arch Energy Partners in June 2021 to focus on developing ROC Energy Acquisition Corp. From 2004 through 2020, Ms. Cicalese worked at J.P. Morgan, most recently serving as an Executive Director in the Corporate Banking Energy Group in Houston, where she managed a reserve-based loan book, originated loans and other banking business, and led client relationships with public and private exploration and production companies. Prior to that,</w:t>
      </w:r>
    </w:p>
    <w:p>
      <w:pPr>
        <w:spacing w:after="0" w:line="3"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Ms. Cicalese worked in J.P. Morgan’s Commodities Group in its New York office, as an Executive Director on the Corporate Derivatives Marketing team, where she worked with oil and gas companies, executing energy risk management hedging strategies. Ms. Cicalese is actively involved with, and serves on the board of directors of, The Periwinkle Foundation, a non-profit organization that develops and provides camps, arts, and survivor programs for children with cancer and other life-threatening illnesses. Ms. Cicalese holds a Bachelor of Engineering in Engineering Management from Stevens Institute of Technology and is a 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w:t>
      </w:r>
    </w:p>
    <w:p>
      <w:pPr>
        <w:sectPr>
          <w:pgSz w:w="11900" w:h="16838" w:orient="portrait"/>
          <w:cols w:equalWidth="0" w:num="1">
            <w:col w:w="9879"/>
          </w:cols>
          <w:pgMar w:left="580" w:top="131" w:right="1440" w:bottom="1440" w:gutter="0" w:footer="0" w:header="0"/>
        </w:sect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b w:val="1"/>
          <w:bCs w:val="1"/>
          <w:color w:val="auto"/>
        </w:rPr>
        <w:t>Brian Minnehan</w:t>
      </w:r>
      <w:r>
        <w:rPr>
          <w:rFonts w:ascii="Arial" w:cs="Arial" w:eastAsia="Arial" w:hAnsi="Arial"/>
          <w:sz w:val="18"/>
          <w:szCs w:val="18"/>
          <w:color w:val="auto"/>
        </w:rPr>
        <w:t>, one of our director nominees, has over 25 years of experience in finance, including 17</w:t>
      </w:r>
      <w:r>
        <w:rPr>
          <w:rFonts w:ascii="Arial" w:cs="Arial" w:eastAsia="Arial" w:hAnsi="Arial"/>
          <w:sz w:val="18"/>
          <w:szCs w:val="18"/>
          <w:b w:val="1"/>
          <w:bCs w:val="1"/>
          <w:color w:val="auto"/>
        </w:rPr>
        <w:t xml:space="preserve"> </w:t>
      </w:r>
      <w:r>
        <w:rPr>
          <w:rFonts w:ascii="Arial" w:cs="Arial" w:eastAsia="Arial" w:hAnsi="Arial"/>
          <w:sz w:val="18"/>
          <w:szCs w:val="18"/>
          <w:color w:val="auto"/>
        </w:rPr>
        <w:t>years investing in the natural resources sector. Mr. Minnehan is the founder and has been serving as Managing Partner at Acadia Resources LP, his family office focused on growth investments, since March 2020. Mr. Minnehan joined NGP in 2007 where he most recently served as a Partner until March 2020. During his tenure with NGP, Mr. Minnehan served as a member of the investment committee and was appointed the lead director for numerous portfolio companies. Prior to joining NGP, Mr. Minnehan served as a Director at Prudential Capital Group where he was responsible for sourcing, analyzing, structuring and monitoring private debt investments across all sectors of the energy industry from 2004 to 2007. His previous tenures include Rothschild in its investment banking group in New York and Arthur Andersen in its corporate restructuring services group in Dallas, Bangkok and Seoul. Mr. Minnehan holds an MBA from Harvard Business School. He also holds a BBA and an MPA in Accounting from The University of Texas at Austin where he was a Sommerfeld Scholar. He is a CFA charterholder and a Certified Public Accountant (nonpracticing). We believe Mr. Minnehan is qualified to serve as a member of our Board of Directors due to his extensive investment experience in the energy sector including banking, public board experience, and private equity work.</w:t>
      </w:r>
    </w:p>
    <w:p>
      <w:pPr>
        <w:spacing w:after="0" w:line="10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color w:val="auto"/>
        </w:rPr>
        <w:t>Alberto Pontonio</w:t>
      </w:r>
      <w:r>
        <w:rPr>
          <w:rFonts w:ascii="Arial" w:cs="Arial" w:eastAsia="Arial" w:hAnsi="Arial"/>
          <w:sz w:val="17"/>
          <w:szCs w:val="17"/>
          <w:color w:val="auto"/>
        </w:rPr>
        <w:t>, one of our director nominees, joined Fifth Partners, LLC (“Fifth Partners”) in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a member of the public markets group. Fifth Partners is a private equity group located in Dallas, Texas and an affiliate of our sponsor and certain of our director nominees. Mr. Pontonio has over 25 years of experience in the financial services industry in both the U.S. and European markets. Mr. Pontonio co-founded and served as a Director of Galileo Acquisition Corp (NYSE: GLEO.U), a blank-check company that consummated an initial business combination with Shapeways, Inc. in September, 2021. Mr. Pontonio also co-founded and currently serves as a Director for Americas Technology Acquisition Corp. (NYSE: ATA.U), a $115 million special purpose acquisition company focusing on targets operating in the TMT verticals. From 2019 to September 2021, he was with Raymond James as a financial advisor, based in Miami. Prior to this, from 2013 through 2018, he traded Equity Index futures with DP Trading. In 2009, he co-founded Censible, an automated investment platform that allows individual investors to align their investments with their personal interests and social values. Mr. Pontonio’s previous tenures include Espirito Santo in their investment banking group, Bear Stearns in London as a Managing Director, and Merrill Lynch in New York and London, as a Director in the Institutional Equity department. Mr. Pontonio started his career in New York at Cowen &amp; Co. He holds a B.A. in economics from the Catholic University in Milan, Italy. We believe Mr. Pontonio is qualified to serve as a member of our Board of Directors due to his extensive experience in the financial services industry and in both the US and European markets.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b w:val="1"/>
          <w:bCs w:val="1"/>
          <w:color w:val="auto"/>
        </w:rPr>
        <w:t>Lee Canaan</w:t>
      </w:r>
      <w:r>
        <w:rPr>
          <w:rFonts w:ascii="Arial" w:cs="Arial" w:eastAsia="Arial" w:hAnsi="Arial"/>
          <w:sz w:val="17"/>
          <w:szCs w:val="17"/>
          <w:color w:val="auto"/>
        </w:rPr>
        <w:t>, one of our director nominees, is the founder and portfolio manager of Braeburn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a private investment management firm since 2003. Ms. Canaan has over 20 years of public and private board experience across diverse industries. She is currently serving on the board of directors of EQT Corporation (since July 2019), Aethon Energy (since June 2019), and PHX Minerals Inc. (since</w:t>
      </w:r>
    </w:p>
    <w:p>
      <w:pPr>
        <w:spacing w:after="0" w:line="2" w:lineRule="exact"/>
        <w:rPr>
          <w:sz w:val="20"/>
          <w:szCs w:val="20"/>
          <w:color w:val="auto"/>
        </w:rPr>
      </w:pPr>
    </w:p>
    <w:p>
      <w:pPr>
        <w:ind w:left="1260" w:right="419"/>
        <w:spacing w:after="0"/>
        <w:rPr>
          <w:sz w:val="20"/>
          <w:szCs w:val="20"/>
          <w:color w:val="auto"/>
        </w:rPr>
      </w:pPr>
      <w:r>
        <w:rPr>
          <w:rFonts w:ascii="Arial" w:cs="Arial" w:eastAsia="Arial" w:hAnsi="Arial"/>
          <w:sz w:val="17"/>
          <w:szCs w:val="17"/>
          <w:color w:val="auto"/>
        </w:rPr>
        <w:t>March 2014). She previously served on the board of directors of Philadelphia Energy Solutions, LLC, Rock Creek Pharmaceuticals, Inc., Equal Energy Ltd., Oakmont Acquisition Corp., and Noble International, Ltd. Ms. Canaan has served as an independent traditional and alternative energy industry consultant for various private, public and governmental entities since 2009, including the U.S. Department of Energy. She began her career as a geophysicist for Amoco, then moved into finance as an analyst and portfolio manager for ARCO corporate treasury, then as an investment analyst at AIM/INVESCO. Ms. Canaan holds a Bachelor of Science in Geological Sciences from University of Southern California, a Masters in Geophysics from The University of Texas at Austin, and an MBA in finance from The Wharton School. She is also a CFA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charterholder. We believe Ms. Canaan is qualified to serve as a member of our Board of Directors due to her extensive experience in the energy sector including investments and serving on public company boards.</w:t>
      </w:r>
    </w:p>
    <w:p>
      <w:pPr>
        <w:spacing w:after="0" w:line="120"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b w:val="1"/>
          <w:bCs w:val="1"/>
          <w:color w:val="auto"/>
        </w:rPr>
        <w:t>Win Graham</w:t>
      </w:r>
      <w:r>
        <w:rPr>
          <w:rFonts w:ascii="Arial" w:cs="Arial" w:eastAsia="Arial" w:hAnsi="Arial"/>
          <w:sz w:val="18"/>
          <w:szCs w:val="18"/>
          <w:color w:val="auto"/>
        </w:rPr>
        <w:t>, one of our director nominees, has managed The Allar Company with his brother Jack in</w:t>
      </w:r>
      <w:r>
        <w:rPr>
          <w:rFonts w:ascii="Arial" w:cs="Arial" w:eastAsia="Arial" w:hAnsi="Arial"/>
          <w:sz w:val="18"/>
          <w:szCs w:val="18"/>
          <w:b w:val="1"/>
          <w:bCs w:val="1"/>
          <w:color w:val="auto"/>
        </w:rPr>
        <w:t xml:space="preserve"> </w:t>
      </w:r>
      <w:r>
        <w:rPr>
          <w:rFonts w:ascii="Arial" w:cs="Arial" w:eastAsia="Arial" w:hAnsi="Arial"/>
          <w:sz w:val="18"/>
          <w:szCs w:val="18"/>
          <w:color w:val="auto"/>
        </w:rPr>
        <w:t>Graham, Texas since 2005. His responsibilities include managing minerals assets in 24 states, negotiating contracts and capital acquisitions. Prior to that Mr. Graham spent 10 years as an international crude oil trader working for Shell Trading and Vitol, where he traded physical cargos of crude oil from all over the world as well as domestic pipeline barrels, futures and options. For several years he was responsible for the futures, options and foreign barrels of crude that were traded in Shell’s United States system. He also spent time trading in both London and Singapore. Mr. Graham began his career as an oil and gas audit specialist at</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PricewaterhouseCoopers (f/k/a Coopers &amp; Lybrand). Mr. Graham holds a BBA in accounting from The University of Texas at Austin and is a Certified Public Accountant (non-practicing). Mr. Graham is active in his community and has served as Board President of the GISD School Board, Graham Industrial Association and the Young County Appraisal District. We believe Mr. Graham is qualified to serve as a member of our Board of Directors due to his extensive experience in the energy sector including banking, investments and private equity work.</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color w:val="auto"/>
        </w:rPr>
        <w:t>Joseph Colonnetta</w:t>
      </w:r>
      <w:r>
        <w:rPr>
          <w:rFonts w:ascii="Arial" w:cs="Arial" w:eastAsia="Arial" w:hAnsi="Arial"/>
          <w:sz w:val="17"/>
          <w:szCs w:val="17"/>
          <w:color w:val="auto"/>
        </w:rPr>
        <w:t>, one of our director nominees, has over 30 years of experience in the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as both an operator and investor, including substantial experience in identifying and acquiring a wide variety of businesses. Since 2011, he has been the Founding and General Partner of HBC Investments, which specializes in middle market private equity investments. Mr. Colonnetta was appointed by Texas Governor Rick Perry in 2012 and reappointed by Governor Greg Abbott to serve for eight years as a Trustee on the Teachers’ Retirement System of Texas, a $190 billion investment fund benefiting 1.7 million educators in the State of Texas, where he served as the Chairman of the Investment Committee for</w:t>
      </w:r>
    </w:p>
    <w:p>
      <w:pPr>
        <w:spacing w:after="0" w:line="1"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four years. Mr. Colonnetta has been a Director and Chairman on numerous private and public company boards including his current service on the boards of Aris Water Solutions (f/k/a Solaris Water Midstream), Getka Energy and Storage, and Thunderbird LNG. Prior to founding HBC Investments, Mr. Colonnetta was a Partner at Hicks, Muse, Tate &amp; Furst, a nationally prominent private equity firm that specialized in leveraged acquisitions. Mr. Colonnetta is a Trustee of St. Michael’s Episcopal Foundation. He earned a Bachelor of Science in Finance from the University of Houston. We believe Mr. Colonnetta is qualified to serve as a member of our Board of Directors due to his extensive experience in investments and private equity.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Advisors</w:t>
      </w:r>
    </w:p>
    <w:p>
      <w:pPr>
        <w:spacing w:after="0" w:line="154"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b w:val="1"/>
          <w:bCs w:val="1"/>
          <w:color w:val="auto"/>
        </w:rPr>
        <w:t>Mike Allen</w:t>
      </w:r>
      <w:r>
        <w:rPr>
          <w:rFonts w:ascii="Arial" w:cs="Arial" w:eastAsia="Arial" w:hAnsi="Arial"/>
          <w:sz w:val="18"/>
          <w:szCs w:val="18"/>
          <w:color w:val="auto"/>
        </w:rPr>
        <w:t>, one of our special advisors, is the founder and President of Providence Energy Ltd.,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energy investment and management company that manages nearly 2,000,000 gross mineral acres and interests in over 10,000 producing wells throughout the United States. Providence Energy is also an active investor in renewable energy resources. Mr. Allen earned a BBA in Accounting from the University of Oklahoma and began his career as a CPA with Ernst &amp; Young (f/k/a Ernst &amp; Ernst) followed by 11 years with Headington Oil Company, before founding Providence.</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b w:val="1"/>
          <w:bCs w:val="1"/>
          <w:color w:val="auto"/>
        </w:rPr>
        <w:t>Dan Hunt</w:t>
      </w:r>
      <w:r>
        <w:rPr>
          <w:rFonts w:ascii="Arial" w:cs="Arial" w:eastAsia="Arial" w:hAnsi="Arial"/>
          <w:sz w:val="17"/>
          <w:szCs w:val="17"/>
          <w:color w:val="auto"/>
        </w:rPr>
        <w:t>, one of our special advisors, has over 20 years of investment and management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sports and entertainment, real estate, media, and bio tech. Mr. Hunt has been President of Major League Soccer’s FC Dallas since 2014, and has spent much of his career driving the future of soccer in America. Together with his late father and American sports icon Lamar Hunt, Mr. Hunt led the creation of the Toyota Stadium and Soccer Center, home to FC Dallas and one of the most elite soccer facilities in the United States. Mr. Hunt is a member of MLS’ Board of Governors and serves on the league’s Business Ventures Committee. He is also involved with additional ownership interests of Hunt Sports Group, including the NFL’s Kansas City Chiefs. Mr. Hunt holds a BA from Southern Methodist University.</w:t>
      </w:r>
    </w:p>
    <w:p>
      <w:pPr>
        <w:spacing w:after="0" w:line="93"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b w:val="1"/>
          <w:bCs w:val="1"/>
          <w:color w:val="auto"/>
        </w:rPr>
        <w:t>Bill Hall</w:t>
      </w:r>
      <w:r>
        <w:rPr>
          <w:rFonts w:ascii="Arial" w:cs="Arial" w:eastAsia="Arial" w:hAnsi="Arial"/>
          <w:sz w:val="17"/>
          <w:szCs w:val="17"/>
          <w:color w:val="auto"/>
        </w:rPr>
        <w:t>, one of our special advisors, has over 40 years of experience in entrepreneur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banking, oil &amp; gas investing, business consulting, and private equity across diverse industries and with specific expertise in national brand franchising and financial services. Mr. Hall is the Chief Executive Officer and a Managing Partner of Align Capital, LLC, where he oversees the investment firm’s operations, as well as focuses on portfolio oversight, investment origination, and underwriting. He has served on numerous private boards, including his current service on the boards of Oakwood Bancshares Inc., Oakwood Bank, Anson Bancshares, Inc., First National Bank of Anson, Seawolf Water Resources, LP, UMVP Index, ClearBlade, Inc (as an observer), Treats Investments, LLC, and WGH Properties, LLC.</w:t>
      </w:r>
    </w:p>
    <w:p>
      <w:pPr>
        <w:spacing w:after="0" w:line="5"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Mr. Hall started his career with Arthur Young &amp; Company (now Ernst &amp; Young). He is a Certified Public Accountant (non-practicing), earned a BBA in Accounting from University of Texas at Austin, and is a 2017 inductee of the Men’s Athletics Longhorn Hall of Honor.</w:t>
      </w:r>
    </w:p>
    <w:p>
      <w:pPr>
        <w:spacing w:after="0" w:line="118"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6"/>
          <w:szCs w:val="16"/>
          <w:b w:val="1"/>
          <w:bCs w:val="1"/>
          <w:color w:val="auto"/>
        </w:rPr>
        <w:t>Jeremy Gottlieb</w:t>
      </w:r>
      <w:r>
        <w:rPr>
          <w:rFonts w:ascii="Arial" w:cs="Arial" w:eastAsia="Arial" w:hAnsi="Arial"/>
          <w:sz w:val="16"/>
          <w:szCs w:val="16"/>
          <w:color w:val="auto"/>
        </w:rPr>
        <w:t>, one of our special advisors, is the co-founder and President of ComboCurve, Inc.</w:t>
      </w:r>
      <w:r>
        <w:rPr>
          <w:rFonts w:ascii="Arial" w:cs="Arial" w:eastAsia="Arial" w:hAnsi="Arial"/>
          <w:sz w:val="16"/>
          <w:szCs w:val="16"/>
          <w:b w:val="1"/>
          <w:bCs w:val="1"/>
          <w:color w:val="auto"/>
        </w:rPr>
        <w:t xml:space="preserve"> </w:t>
      </w:r>
      <w:r>
        <w:rPr>
          <w:rFonts w:ascii="Arial" w:cs="Arial" w:eastAsia="Arial" w:hAnsi="Arial"/>
          <w:sz w:val="16"/>
          <w:szCs w:val="16"/>
          <w:color w:val="auto"/>
        </w:rPr>
        <w:t>(formerly known as Inside Petroleum), a software-as-a-service financial technology platform designed for energy companies, where he has co-led the development, sales, operations, and financing of the business as it grew to over 100 clients in just over 12 months post-launch. Prior to ComboCurve, he served as Finance Director at Deep Gulf Energy, a private equity-backed energy company, where he was involved in equity and debt financings before the company was sold to Kosmos Energy in 2018. He previously held positions</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18" w:lineRule="auto"/>
        <w:rPr>
          <w:sz w:val="20"/>
          <w:szCs w:val="20"/>
          <w:color w:val="auto"/>
        </w:rPr>
      </w:pPr>
      <w:r>
        <w:rPr>
          <w:rFonts w:ascii="Arial" w:cs="Arial" w:eastAsia="Arial" w:hAnsi="Arial"/>
          <w:sz w:val="18"/>
          <w:szCs w:val="18"/>
          <w:color w:val="auto"/>
        </w:rPr>
        <w:t>at Ivory Capital and Ernst &amp; Young. Mr. Gottlieb graduated with High Honors from the University of Texas at Austin with a BBA and MPA. He is a 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 and a Certified Public Accountant, licensed in the State of Texas.</w:t>
      </w:r>
    </w:p>
    <w:p>
      <w:pPr>
        <w:spacing w:after="0" w:line="104"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b w:val="1"/>
          <w:bCs w:val="1"/>
          <w:color w:val="auto"/>
        </w:rPr>
        <w:t>Ruben Martin</w:t>
      </w:r>
      <w:r>
        <w:rPr>
          <w:rFonts w:ascii="Arial" w:cs="Arial" w:eastAsia="Arial" w:hAnsi="Arial"/>
          <w:sz w:val="17"/>
          <w:szCs w:val="17"/>
          <w:color w:val="auto"/>
        </w:rPr>
        <w:t>, one of our special advisors, currently serves as Chairman of the Board and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general partner of Martin Midstream Partners, a publicly traded limited partnership with a diverse set of energy midstream operations focused primarily on the United States Gulf Coast region. Mr. Martin led the company as President, Chief Executive Officer, and a member of the board of directors from 2002 to 2020. Prior to that, he served as President of Martin Resource Management, where he held various other roles since 1974. He holds a BS in Industrial Management from the University of Arkansas.</w:t>
      </w:r>
    </w:p>
    <w:p>
      <w:pPr>
        <w:spacing w:after="0" w:line="107"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We currently expect our special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In this regard, our special advisors will fulfill some of the same functions as members of our board of directors. However, our special advisors will not be under any fiduciary obligations to us nor will they perform board or committee functions, nor will they have any voting or decision -making capacity on our behalf. Our special advisors will also not be required to devote any specific amount of time to our efforts or be subject to the fiduciary requirements to which members of our board of directors are subject. Accordingly, if any of our special advisors becomes aware of a business combination opportunity which is suitable for any of the entities to which he has fiduciary or contractual obligations (including other blank check companies), such special advisor will honor his or her fiduciary or contractual obligations to present such business combination opportunity to such entity, and only present it to us if such entity rejects the opportunity. We may modify or expand our roster of special advisors as we source potential business combination targets or create value in businesses that we may acquire.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terms of office and appointment of officers and directors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Upon consummation of this offering, our board of directors will have seven members, four of whom will be deemed “independent” under SEC and NYSE rules. Our board of directors will be divided into three classes with only one class of directors being elected in each year and each class serving a three-year term. The term of office of the first class of directors, consisting of Mr. Minnehan and Ms. Canaan and Mr. Colonnetta, will expire at our first annual meeting of stockholders. The term of office of the second class of directors, consisting of Mr. Graham and Mr. Drysdale, will expire at the second annual meeting. The term of office of the third class of directors, consisting of Mr. Kimes and Mr. Pontonio will expire at our third annual meeting of stockholders. We may not hold an annual meeting of stockholders until after we consummate our initial business combination.</w:t>
      </w:r>
    </w:p>
    <w:p>
      <w:pPr>
        <w:spacing w:after="0" w:line="11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 may consist of chief executive officer, president, chief financial officer, executive vice president(s), vice president(s), secretary, treasurer and such other officers as may be determined by the board of directors..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No executive officer has received any cash compensation for services rendered to us. Commencing on the date of this prospectus through the acquisition of a target business, we will pay Fifth Partners, an affiliate of our sponsor and certain of our director nominees, an aggregate fee of $13,000 per month for providing us with office space, utilities and secretarial services. Fifth Partners will also be entitled to be reimbursed for any out- of-pocket expenses. Other than the $13,000 per month administrative fee and the repayment of any loans made by our sponsor to us, no compensation of any kind, including finders, consulting or other similar fees, will be paid to any of our existing shareholders,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48" w:lineRule="auto"/>
        <w:rPr>
          <w:sz w:val="20"/>
          <w:szCs w:val="20"/>
          <w:color w:val="auto"/>
        </w:rPr>
      </w:pPr>
      <w:r>
        <w:rPr>
          <w:rFonts w:ascii="Arial" w:cs="Arial" w:eastAsia="Arial" w:hAnsi="Arial"/>
          <w:sz w:val="18"/>
          <w:szCs w:val="18"/>
          <w:color w:val="auto"/>
        </w:rPr>
        <w:t>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0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 The amount of any such fee we pay will be based upon the prevailing market for similar services for comparable transactions at such time, and will be subject to the review of our audit committee pursuant to the audit committee’s policies and procedures relating to transactions that may present conflicts of interest. We would disclose any such fee in the proxy or tender offer materials used in connection with a proposed business combination.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Other than as described herein,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NYSE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Mr. Minnehan, Ms. Canaan, Mr. Graham and Mr. Colonnetta is an “independent director” as defined in the NYSE listing standards. Our independent directors will have regularly scheduled meetings at which only independent directors are present. 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also be approved by our audit committee and a majority of disinterested independent directors.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Mr. Graham, Ms. Canaan, and Mr. Colonnetta. Under the NYSE listing standards and applicable SEC rules, we are required to have at least three members of the audit committee, all of whom must be independent. Each of Mr. Graham, Ms. Canaan, and Mr. Colonnetta meet the independent director standard under NYSE listing standards and under Rule 10-A-3(b)(1) of the Exchange Act. will serve as chairman of the audit committee.</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49" w:lineRule="exact"/>
        <w:rPr>
          <w:sz w:val="20"/>
          <w:szCs w:val="20"/>
          <w:color w:val="auto"/>
        </w:rPr>
      </w:pPr>
    </w:p>
    <w:p>
      <w:pPr>
        <w:ind w:left="1800" w:right="89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monitoring the independence of the registered public accounting firm;</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15" w:lineRule="exact"/>
        <w:rPr>
          <w:rFonts w:ascii="Arial" w:cs="Arial" w:eastAsia="Arial" w:hAnsi="Arial"/>
          <w:sz w:val="17"/>
          <w:szCs w:val="17"/>
          <w:color w:val="auto"/>
        </w:rPr>
      </w:pPr>
    </w:p>
    <w:p>
      <w:pPr>
        <w:ind w:left="1800" w:right="599" w:hanging="180"/>
        <w:spacing w:after="0" w:line="308"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pre-approving all audit services and permitted non-audit services to be performed by our registered public accounting firm, including the fees and terms of the services to be performed;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appointing or replacing the registered public accounting firm;</w:t>
      </w:r>
    </w:p>
    <w:p>
      <w:pPr>
        <w:spacing w:after="0" w:line="117"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registered public accounting firm (including resolution of disagreements between management and the registered public accounting firm regarding financial reporting) for the purpose of preparing or issuing an audit report or related work;</w:t>
      </w:r>
    </w:p>
    <w:p>
      <w:pPr>
        <w:spacing w:after="0" w:line="65"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75"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75"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stockholders,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62"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NYSE listing standards. The NYSE listing standards define “financially literate” as being able to read and understand fundamental financial statements, including a company’s balance sheet, income statement and cash flow statement.</w:t>
      </w:r>
    </w:p>
    <w:p>
      <w:pPr>
        <w:spacing w:after="0" w:line="107"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In addition, we must certify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Our board of directors has determined that each of Mr. Graham, Ms. Canaan, and Mr.Colonnetta qualifies as an “audit committee financial expert,” as defined under rules and regulations of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consisting of Mr. Graham, Ms. Canaan, and Mr. Colonnetta, each of whom is an independent director. Under the NYSE listing standards and applicable SEC rules, we are required to have at least two members of the compensation committee, all of whom must be independent. Mr. Colonnetta will serve as chairman of the compensation committee.</w:t>
      </w:r>
    </w:p>
    <w:p>
      <w:pPr>
        <w:spacing w:after="0" w:line="93"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63" w:lineRule="exact"/>
        <w:rPr>
          <w:sz w:val="20"/>
          <w:szCs w:val="20"/>
          <w:color w:val="auto"/>
        </w:rPr>
      </w:pPr>
    </w:p>
    <w:p>
      <w:pPr>
        <w:ind w:left="1800" w:right="559" w:hanging="180"/>
        <w:spacing w:after="0" w:line="263"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spacing w:after="0" w:line="261" w:lineRule="auto"/>
        <w:rPr>
          <w:sz w:val="20"/>
          <w:szCs w:val="20"/>
          <w:color w:val="auto"/>
        </w:rPr>
      </w:pPr>
      <w:r>
        <w:rPr>
          <w:rFonts w:ascii="Arial" w:cs="Arial" w:eastAsia="Arial" w:hAnsi="Arial"/>
          <w:sz w:val="18"/>
          <w:szCs w:val="18"/>
          <w:color w:val="auto"/>
        </w:rPr>
        <w:t>goals and objectives and determining and approving the remuneration (if any) of our chief executive officer’s based on such evaluation;</w:t>
      </w:r>
    </w:p>
    <w:p>
      <w:pPr>
        <w:spacing w:after="0" w:line="49" w:lineRule="exact"/>
        <w:rPr>
          <w:sz w:val="20"/>
          <w:szCs w:val="20"/>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69"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The members of our nominating and corporate governance will be Mr. Graham, Ms. Canaan, and Mr. Colonnetta. Ms. Canaan serve as chair of the nominating and corporate governance committee.</w:t>
      </w:r>
    </w:p>
    <w:p>
      <w:pPr>
        <w:spacing w:after="0" w:line="120"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The primary purposes of our nominating and corporate governance committee will be to assist the board in:</w:t>
      </w:r>
    </w:p>
    <w:p>
      <w:pPr>
        <w:spacing w:after="0" w:line="63" w:lineRule="exact"/>
        <w:rPr>
          <w:sz w:val="20"/>
          <w:szCs w:val="20"/>
          <w:color w:val="auto"/>
        </w:rPr>
      </w:pPr>
    </w:p>
    <w:p>
      <w:pPr>
        <w:ind w:left="1800" w:right="459" w:hanging="180"/>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and recommending to the board of directors candidates for nomination for election at the annual general meeting or to fill vacancies on the board of directors;</w:t>
      </w:r>
    </w:p>
    <w:p>
      <w:pPr>
        <w:spacing w:after="0" w:line="75"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8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nominating and corporate governance committee will be governed by a charter that complies with the rules of the NYSE.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17" w:lineRule="exact"/>
        <w:rPr>
          <w:sz w:val="20"/>
          <w:szCs w:val="20"/>
          <w:color w:val="auto"/>
        </w:rPr>
      </w:pPr>
    </w:p>
    <w:p>
      <w:pPr>
        <w:ind w:left="1800" w:right="87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75"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Thus, our officers and directors may have conflicts of interest in determining to which entity a particular business opportunity should be presented.</w:t>
      </w:r>
    </w:p>
    <w:p>
      <w:pPr>
        <w:spacing w:after="0" w:line="79" w:lineRule="exact"/>
        <w:rPr>
          <w:rFonts w:ascii="Arial" w:cs="Arial" w:eastAsia="Arial" w:hAnsi="Arial"/>
          <w:sz w:val="18"/>
          <w:szCs w:val="18"/>
          <w:color w:val="auto"/>
        </w:rPr>
      </w:pPr>
    </w:p>
    <w:p>
      <w:pPr>
        <w:jc w:val="both"/>
        <w:ind w:left="1800" w:right="73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62"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w:t>
      </w:r>
    </w:p>
    <w:p>
      <w:pPr>
        <w:spacing w:after="0" w:line="68" w:lineRule="exact"/>
        <w:rPr>
          <w:rFonts w:ascii="Arial" w:cs="Arial" w:eastAsia="Arial" w:hAnsi="Arial"/>
          <w:sz w:val="17"/>
          <w:szCs w:val="17"/>
          <w:color w:val="auto"/>
        </w:rPr>
      </w:pPr>
    </w:p>
    <w:p>
      <w:pPr>
        <w:ind w:left="1800" w:right="55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repay loans which may be made by our insiders or any of their affiliates to finance transaction costs in connection with an initial business combination, the terms of which have not been determined. Up to $1,500,000 of such loans may be convertible into units, at a price of $10.00 per unit, at the option of the lender.</w:t>
      </w:r>
    </w:p>
    <w:p>
      <w:pPr>
        <w:spacing w:after="0" w:line="78" w:lineRule="exact"/>
        <w:rPr>
          <w:rFonts w:ascii="Arial" w:cs="Arial" w:eastAsia="Arial" w:hAnsi="Arial"/>
          <w:sz w:val="18"/>
          <w:szCs w:val="18"/>
          <w:color w:val="auto"/>
        </w:rPr>
      </w:pPr>
    </w:p>
    <w:p>
      <w:pPr>
        <w:jc w:val="both"/>
        <w:ind w:left="1800" w:right="679" w:hanging="180"/>
        <w:spacing w:after="0" w:line="286"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57" w:lineRule="exact"/>
        <w:rPr>
          <w:rFonts w:ascii="Arial" w:cs="Arial" w:eastAsia="Arial" w:hAnsi="Arial"/>
          <w:sz w:val="17"/>
          <w:szCs w:val="17"/>
          <w:color w:val="auto"/>
        </w:rPr>
      </w:pPr>
    </w:p>
    <w:p>
      <w:pPr>
        <w:ind w:left="1800" w:right="459" w:hanging="180"/>
        <w:spacing w:after="0" w:line="271"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founder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founder shares or private units. Furthermore, our sponsor has agreed that the private units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11"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62"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89"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12 months from the closing of this offering (or up to 18 months from the closing of this offering if we extend the period of time to consummate a business combination).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319"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Individual</w:t>
            </w:r>
            <w:r>
              <w:rPr>
                <w:rFonts w:ascii="Arial" w:cs="Arial" w:eastAsia="Arial" w:hAnsi="Arial"/>
                <w:sz w:val="17"/>
                <w:szCs w:val="17"/>
                <w:b w:val="1"/>
                <w:bCs w:val="1"/>
                <w:color w:val="auto"/>
                <w:vertAlign w:val="superscript"/>
              </w:rPr>
              <w:t>(1)(2)</w:t>
            </w:r>
          </w:p>
        </w:tc>
        <w:tc>
          <w:tcPr>
            <w:tcW w:w="220" w:type="dxa"/>
            <w:vAlign w:val="bottom"/>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Entity’s Business</w:t>
            </w:r>
          </w:p>
        </w:tc>
        <w:tc>
          <w:tcPr>
            <w:tcW w:w="22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Affiliation</w:t>
            </w:r>
          </w:p>
        </w:tc>
      </w:tr>
      <w:tr>
        <w:trPr>
          <w:trHeight w:val="250"/>
        </w:trPr>
        <w:tc>
          <w:tcPr>
            <w:tcW w:w="2100" w:type="dxa"/>
            <w:vAlign w:val="bottom"/>
            <w:gridSpan w:val="2"/>
          </w:tcPr>
          <w:p>
            <w:pPr>
              <w:spacing w:after="0"/>
              <w:rPr>
                <w:sz w:val="20"/>
                <w:szCs w:val="20"/>
                <w:color w:val="auto"/>
              </w:rPr>
            </w:pPr>
            <w:r>
              <w:rPr>
                <w:rFonts w:ascii="Arial" w:cs="Arial" w:eastAsia="Arial" w:hAnsi="Arial"/>
                <w:sz w:val="18"/>
                <w:szCs w:val="18"/>
                <w:color w:val="auto"/>
              </w:rPr>
              <w:t>Joseph Drysdale</w:t>
            </w:r>
          </w:p>
        </w:tc>
        <w:tc>
          <w:tcPr>
            <w:tcW w:w="2120" w:type="dxa"/>
            <w:vAlign w:val="bottom"/>
            <w:gridSpan w:val="2"/>
          </w:tcPr>
          <w:p>
            <w:pPr>
              <w:spacing w:after="0"/>
              <w:rPr>
                <w:sz w:val="20"/>
                <w:szCs w:val="20"/>
                <w:color w:val="auto"/>
              </w:rPr>
            </w:pPr>
            <w:r>
              <w:rPr>
                <w:rFonts w:ascii="Arial" w:cs="Arial" w:eastAsia="Arial" w:hAnsi="Arial"/>
                <w:sz w:val="18"/>
                <w:szCs w:val="18"/>
                <w:color w:val="auto"/>
              </w:rPr>
              <w:t>Fifth Partners, LLC</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392"/>
        </w:trPr>
        <w:tc>
          <w:tcPr>
            <w:tcW w:w="2100" w:type="dxa"/>
            <w:vAlign w:val="bottom"/>
            <w:gridSpan w:val="2"/>
          </w:tcPr>
          <w:p>
            <w:pPr>
              <w:spacing w:after="0"/>
              <w:rPr>
                <w:sz w:val="20"/>
                <w:szCs w:val="20"/>
                <w:color w:val="auto"/>
              </w:rPr>
            </w:pPr>
            <w:r>
              <w:rPr>
                <w:rFonts w:ascii="Arial" w:cs="Arial" w:eastAsia="Arial" w:hAnsi="Arial"/>
                <w:sz w:val="18"/>
                <w:szCs w:val="18"/>
                <w:color w:val="auto"/>
              </w:rPr>
              <w:t>Daniel Jeffrey Kimes</w:t>
            </w:r>
          </w:p>
        </w:tc>
        <w:tc>
          <w:tcPr>
            <w:tcW w:w="2120" w:type="dxa"/>
            <w:vAlign w:val="bottom"/>
            <w:gridSpan w:val="2"/>
          </w:tcPr>
          <w:p>
            <w:pPr>
              <w:spacing w:after="0"/>
              <w:rPr>
                <w:sz w:val="20"/>
                <w:szCs w:val="20"/>
                <w:color w:val="auto"/>
              </w:rPr>
            </w:pPr>
            <w:r>
              <w:rPr>
                <w:rFonts w:ascii="Arial" w:cs="Arial" w:eastAsia="Arial" w:hAnsi="Arial"/>
                <w:sz w:val="18"/>
                <w:szCs w:val="18"/>
                <w:color w:val="auto"/>
              </w:rPr>
              <w:t>Arch Energy Partners</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364"/>
        </w:trPr>
        <w:tc>
          <w:tcPr>
            <w:tcW w:w="2100" w:type="dxa"/>
            <w:vAlign w:val="bottom"/>
            <w:gridSpan w:val="2"/>
          </w:tcPr>
          <w:p>
            <w:pPr>
              <w:spacing w:after="0"/>
              <w:rPr>
                <w:sz w:val="20"/>
                <w:szCs w:val="20"/>
                <w:color w:val="auto"/>
              </w:rPr>
            </w:pPr>
            <w:r>
              <w:rPr>
                <w:rFonts w:ascii="Arial" w:cs="Arial" w:eastAsia="Arial" w:hAnsi="Arial"/>
                <w:sz w:val="18"/>
                <w:szCs w:val="18"/>
                <w:color w:val="auto"/>
              </w:rPr>
              <w:t>Rosemarie Cicalese</w:t>
            </w:r>
          </w:p>
        </w:tc>
        <w:tc>
          <w:tcPr>
            <w:tcW w:w="2120" w:type="dxa"/>
            <w:vAlign w:val="bottom"/>
            <w:gridSpan w:val="2"/>
          </w:tcPr>
          <w:p>
            <w:pPr>
              <w:spacing w:after="0"/>
              <w:rPr>
                <w:sz w:val="20"/>
                <w:szCs w:val="20"/>
                <w:color w:val="auto"/>
              </w:rPr>
            </w:pPr>
            <w:r>
              <w:rPr>
                <w:rFonts w:ascii="Arial" w:cs="Arial" w:eastAsia="Arial" w:hAnsi="Arial"/>
                <w:sz w:val="18"/>
                <w:szCs w:val="18"/>
                <w:color w:val="auto"/>
              </w:rPr>
              <w:t>Arch Energy Partners</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rPr>
              <w:t>VP Business</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Development</w:t>
            </w:r>
          </w:p>
        </w:tc>
      </w:tr>
      <w:tr>
        <w:trPr>
          <w:trHeight w:val="377"/>
        </w:trPr>
        <w:tc>
          <w:tcPr>
            <w:tcW w:w="2100" w:type="dxa"/>
            <w:vAlign w:val="bottom"/>
            <w:gridSpan w:val="2"/>
          </w:tcPr>
          <w:p>
            <w:pPr>
              <w:spacing w:after="0"/>
              <w:rPr>
                <w:sz w:val="20"/>
                <w:szCs w:val="20"/>
                <w:color w:val="auto"/>
              </w:rPr>
            </w:pPr>
            <w:r>
              <w:rPr>
                <w:rFonts w:ascii="Arial" w:cs="Arial" w:eastAsia="Arial" w:hAnsi="Arial"/>
                <w:sz w:val="18"/>
                <w:szCs w:val="18"/>
                <w:color w:val="auto"/>
              </w:rPr>
              <w:t>Brian Minnehan</w:t>
            </w:r>
          </w:p>
        </w:tc>
        <w:tc>
          <w:tcPr>
            <w:tcW w:w="2120" w:type="dxa"/>
            <w:vAlign w:val="bottom"/>
            <w:gridSpan w:val="2"/>
          </w:tcPr>
          <w:p>
            <w:pPr>
              <w:spacing w:after="0"/>
              <w:rPr>
                <w:sz w:val="20"/>
                <w:szCs w:val="20"/>
                <w:color w:val="auto"/>
              </w:rPr>
            </w:pPr>
            <w:r>
              <w:rPr>
                <w:rFonts w:ascii="Arial" w:cs="Arial" w:eastAsia="Arial" w:hAnsi="Arial"/>
                <w:sz w:val="18"/>
                <w:szCs w:val="18"/>
                <w:color w:val="auto"/>
              </w:rPr>
              <w:t>Acadia Resources LP</w:t>
            </w:r>
          </w:p>
        </w:tc>
        <w:tc>
          <w:tcPr>
            <w:tcW w:w="2100" w:type="dxa"/>
            <w:vAlign w:val="bottom"/>
            <w:gridSpan w:val="2"/>
          </w:tcPr>
          <w:p>
            <w:pPr>
              <w:spacing w:after="0"/>
              <w:rPr>
                <w:sz w:val="20"/>
                <w:szCs w:val="20"/>
                <w:color w:val="auto"/>
              </w:rPr>
            </w:pPr>
            <w:r>
              <w:rPr>
                <w:rFonts w:ascii="Arial" w:cs="Arial" w:eastAsia="Arial" w:hAnsi="Arial"/>
                <w:sz w:val="18"/>
                <w:szCs w:val="18"/>
                <w:color w:val="auto"/>
              </w:rPr>
              <w:t>Family office</w:t>
            </w:r>
          </w:p>
        </w:tc>
        <w:tc>
          <w:tcPr>
            <w:tcW w:w="1880" w:type="dxa"/>
            <w:vAlign w:val="bottom"/>
          </w:tcPr>
          <w:p>
            <w:pPr>
              <w:spacing w:after="0"/>
              <w:rPr>
                <w:sz w:val="20"/>
                <w:szCs w:val="20"/>
                <w:color w:val="auto"/>
              </w:rPr>
            </w:pPr>
            <w:r>
              <w:rPr>
                <w:rFonts w:ascii="Arial" w:cs="Arial" w:eastAsia="Arial" w:hAnsi="Arial"/>
                <w:sz w:val="18"/>
                <w:szCs w:val="18"/>
                <w:color w:val="auto"/>
                <w:w w:val="99"/>
              </w:rPr>
              <w:t>Founder and Managing</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Partner</w:t>
            </w:r>
          </w:p>
        </w:tc>
      </w:tr>
      <w:tr>
        <w:trPr>
          <w:trHeight w:val="377"/>
        </w:trPr>
        <w:tc>
          <w:tcPr>
            <w:tcW w:w="2100" w:type="dxa"/>
            <w:vAlign w:val="bottom"/>
            <w:gridSpan w:val="2"/>
          </w:tcPr>
          <w:p>
            <w:pPr>
              <w:spacing w:after="0"/>
              <w:rPr>
                <w:sz w:val="20"/>
                <w:szCs w:val="20"/>
                <w:color w:val="auto"/>
              </w:rPr>
            </w:pPr>
            <w:r>
              <w:rPr>
                <w:rFonts w:ascii="Arial" w:cs="Arial" w:eastAsia="Arial" w:hAnsi="Arial"/>
                <w:sz w:val="18"/>
                <w:szCs w:val="18"/>
                <w:color w:val="auto"/>
              </w:rPr>
              <w:t>Alberto Pontonio</w:t>
            </w:r>
          </w:p>
        </w:tc>
        <w:tc>
          <w:tcPr>
            <w:tcW w:w="2120" w:type="dxa"/>
            <w:vAlign w:val="bottom"/>
            <w:gridSpan w:val="2"/>
          </w:tcPr>
          <w:p>
            <w:pPr>
              <w:spacing w:after="0"/>
              <w:rPr>
                <w:sz w:val="20"/>
                <w:szCs w:val="20"/>
                <w:color w:val="auto"/>
              </w:rPr>
            </w:pPr>
            <w:r>
              <w:rPr>
                <w:rFonts w:ascii="Arial" w:cs="Arial" w:eastAsia="Arial" w:hAnsi="Arial"/>
                <w:sz w:val="18"/>
                <w:szCs w:val="18"/>
                <w:color w:val="auto"/>
              </w:rPr>
              <w:t>Fifth Partners, LLC</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w w:val="95"/>
              </w:rPr>
              <w:t>Member, Public Markets</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Group</w:t>
            </w:r>
          </w:p>
        </w:tc>
      </w:tr>
      <w:tr>
        <w:trPr>
          <w:trHeight w:val="377"/>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Americas Technology</w:t>
            </w:r>
          </w:p>
        </w:tc>
        <w:tc>
          <w:tcPr>
            <w:tcW w:w="2100" w:type="dxa"/>
            <w:vAlign w:val="bottom"/>
            <w:gridSpan w:val="2"/>
          </w:tcPr>
          <w:p>
            <w:pPr>
              <w:spacing w:after="0"/>
              <w:rPr>
                <w:sz w:val="20"/>
                <w:szCs w:val="20"/>
                <w:color w:val="auto"/>
              </w:rPr>
            </w:pPr>
            <w:r>
              <w:rPr>
                <w:rFonts w:ascii="Arial" w:cs="Arial" w:eastAsia="Arial" w:hAnsi="Arial"/>
                <w:sz w:val="18"/>
                <w:szCs w:val="18"/>
                <w:color w:val="auto"/>
              </w:rPr>
              <w:t>SPAC</w:t>
            </w:r>
          </w:p>
        </w:tc>
        <w:tc>
          <w:tcPr>
            <w:tcW w:w="18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Acquisition Corp.</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7"/>
        </w:trPr>
        <w:tc>
          <w:tcPr>
            <w:tcW w:w="2100" w:type="dxa"/>
            <w:vAlign w:val="bottom"/>
            <w:gridSpan w:val="2"/>
          </w:tcPr>
          <w:p>
            <w:pPr>
              <w:spacing w:after="0"/>
              <w:rPr>
                <w:sz w:val="20"/>
                <w:szCs w:val="20"/>
                <w:color w:val="auto"/>
              </w:rPr>
            </w:pPr>
            <w:r>
              <w:rPr>
                <w:rFonts w:ascii="Arial" w:cs="Arial" w:eastAsia="Arial" w:hAnsi="Arial"/>
                <w:sz w:val="18"/>
                <w:szCs w:val="18"/>
                <w:color w:val="auto"/>
              </w:rPr>
              <w:t>Lee Canaan</w:t>
            </w:r>
          </w:p>
        </w:tc>
        <w:tc>
          <w:tcPr>
            <w:tcW w:w="2120" w:type="dxa"/>
            <w:vAlign w:val="bottom"/>
            <w:gridSpan w:val="2"/>
          </w:tcPr>
          <w:p>
            <w:pPr>
              <w:spacing w:after="0"/>
              <w:rPr>
                <w:sz w:val="20"/>
                <w:szCs w:val="20"/>
                <w:color w:val="auto"/>
              </w:rPr>
            </w:pPr>
            <w:r>
              <w:rPr>
                <w:rFonts w:ascii="Arial" w:cs="Arial" w:eastAsia="Arial" w:hAnsi="Arial"/>
                <w:sz w:val="18"/>
                <w:szCs w:val="18"/>
                <w:color w:val="auto"/>
              </w:rPr>
              <w:t>Braeburn Capital</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rPr>
              <w:t>Founder and Portfolio</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Partners</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Manager</w:t>
            </w:r>
          </w:p>
        </w:tc>
      </w:tr>
      <w:tr>
        <w:trPr>
          <w:trHeight w:val="405"/>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EQT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Energy company</w:t>
            </w:r>
          </w:p>
        </w:tc>
        <w:tc>
          <w:tcPr>
            <w:tcW w:w="1880" w:type="dxa"/>
            <w:vAlign w:val="bottom"/>
          </w:tcPr>
          <w:p>
            <w:pPr>
              <w:spacing w:after="0"/>
              <w:rPr>
                <w:sz w:val="20"/>
                <w:szCs w:val="20"/>
                <w:color w:val="auto"/>
              </w:rPr>
            </w:pPr>
            <w:r>
              <w:rPr>
                <w:rFonts w:ascii="Arial" w:cs="Arial" w:eastAsia="Arial" w:hAnsi="Arial"/>
                <w:sz w:val="18"/>
                <w:szCs w:val="18"/>
                <w:color w:val="auto"/>
              </w:rPr>
              <w:t>Director</w:t>
            </w:r>
          </w:p>
        </w:tc>
      </w:tr>
      <w:tr>
        <w:trPr>
          <w:trHeight w:val="364"/>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Aethon Energy</w:t>
            </w:r>
          </w:p>
        </w:tc>
        <w:tc>
          <w:tcPr>
            <w:tcW w:w="2100" w:type="dxa"/>
            <w:vAlign w:val="bottom"/>
            <w:gridSpan w:val="2"/>
          </w:tcPr>
          <w:p>
            <w:pPr>
              <w:spacing w:after="0"/>
              <w:rPr>
                <w:sz w:val="20"/>
                <w:szCs w:val="20"/>
                <w:color w:val="auto"/>
              </w:rPr>
            </w:pPr>
            <w:r>
              <w:rPr>
                <w:rFonts w:ascii="Arial" w:cs="Arial" w:eastAsia="Arial" w:hAnsi="Arial"/>
                <w:sz w:val="18"/>
                <w:szCs w:val="18"/>
                <w:color w:val="auto"/>
              </w:rPr>
              <w:t>Investment firm</w:t>
            </w:r>
          </w:p>
        </w:tc>
        <w:tc>
          <w:tcPr>
            <w:tcW w:w="18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Management LLC</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5"/>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PHX Minerals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Energy company</w:t>
            </w:r>
          </w:p>
        </w:tc>
        <w:tc>
          <w:tcPr>
            <w:tcW w:w="1880" w:type="dxa"/>
            <w:vAlign w:val="bottom"/>
          </w:tcPr>
          <w:p>
            <w:pPr>
              <w:spacing w:after="0"/>
              <w:rPr>
                <w:sz w:val="20"/>
                <w:szCs w:val="20"/>
                <w:color w:val="auto"/>
              </w:rPr>
            </w:pPr>
            <w:r>
              <w:rPr>
                <w:rFonts w:ascii="Arial" w:cs="Arial" w:eastAsia="Arial" w:hAnsi="Arial"/>
                <w:sz w:val="18"/>
                <w:szCs w:val="18"/>
                <w:color w:val="auto"/>
              </w:rPr>
              <w:t>Director</w:t>
            </w:r>
          </w:p>
        </w:tc>
      </w:tr>
      <w:tr>
        <w:trPr>
          <w:trHeight w:val="391"/>
        </w:trPr>
        <w:tc>
          <w:tcPr>
            <w:tcW w:w="2100" w:type="dxa"/>
            <w:vAlign w:val="bottom"/>
            <w:gridSpan w:val="2"/>
          </w:tcPr>
          <w:p>
            <w:pPr>
              <w:spacing w:after="0"/>
              <w:rPr>
                <w:sz w:val="20"/>
                <w:szCs w:val="20"/>
                <w:color w:val="auto"/>
              </w:rPr>
            </w:pPr>
            <w:r>
              <w:rPr>
                <w:rFonts w:ascii="Arial" w:cs="Arial" w:eastAsia="Arial" w:hAnsi="Arial"/>
                <w:sz w:val="18"/>
                <w:szCs w:val="18"/>
                <w:color w:val="auto"/>
              </w:rPr>
              <w:t>Win Graham</w:t>
            </w:r>
          </w:p>
        </w:tc>
        <w:tc>
          <w:tcPr>
            <w:tcW w:w="2120" w:type="dxa"/>
            <w:vAlign w:val="bottom"/>
            <w:gridSpan w:val="2"/>
          </w:tcPr>
          <w:p>
            <w:pPr>
              <w:spacing w:after="0"/>
              <w:rPr>
                <w:sz w:val="20"/>
                <w:szCs w:val="20"/>
                <w:color w:val="auto"/>
              </w:rPr>
            </w:pPr>
            <w:r>
              <w:rPr>
                <w:rFonts w:ascii="Arial" w:cs="Arial" w:eastAsia="Arial" w:hAnsi="Arial"/>
                <w:sz w:val="18"/>
                <w:szCs w:val="18"/>
                <w:color w:val="auto"/>
              </w:rPr>
              <w:t>The Allar Company</w:t>
            </w:r>
          </w:p>
        </w:tc>
        <w:tc>
          <w:tcPr>
            <w:tcW w:w="2100" w:type="dxa"/>
            <w:vAlign w:val="bottom"/>
            <w:gridSpan w:val="2"/>
          </w:tcPr>
          <w:p>
            <w:pPr>
              <w:spacing w:after="0"/>
              <w:rPr>
                <w:sz w:val="20"/>
                <w:szCs w:val="20"/>
                <w:color w:val="auto"/>
              </w:rPr>
            </w:pPr>
            <w:r>
              <w:rPr>
                <w:rFonts w:ascii="Arial" w:cs="Arial" w:eastAsia="Arial" w:hAnsi="Arial"/>
                <w:sz w:val="18"/>
                <w:szCs w:val="18"/>
                <w:color w:val="auto"/>
              </w:rPr>
              <w:t>Oil and gas company</w:t>
            </w:r>
          </w:p>
        </w:tc>
        <w:tc>
          <w:tcPr>
            <w:tcW w:w="1880" w:type="dxa"/>
            <w:vAlign w:val="bottom"/>
          </w:tcPr>
          <w:p>
            <w:pPr>
              <w:spacing w:after="0"/>
              <w:rPr>
                <w:sz w:val="20"/>
                <w:szCs w:val="20"/>
                <w:color w:val="auto"/>
              </w:rPr>
            </w:pPr>
            <w:r>
              <w:rPr>
                <w:rFonts w:ascii="Arial" w:cs="Arial" w:eastAsia="Arial" w:hAnsi="Arial"/>
                <w:sz w:val="18"/>
                <w:szCs w:val="18"/>
                <w:color w:val="auto"/>
              </w:rPr>
              <w:t>Principal</w:t>
            </w:r>
          </w:p>
        </w:tc>
      </w:tr>
      <w:tr>
        <w:trPr>
          <w:trHeight w:val="364"/>
        </w:trPr>
        <w:tc>
          <w:tcPr>
            <w:tcW w:w="2100" w:type="dxa"/>
            <w:vAlign w:val="bottom"/>
            <w:gridSpan w:val="2"/>
          </w:tcPr>
          <w:p>
            <w:pPr>
              <w:spacing w:after="0"/>
              <w:rPr>
                <w:sz w:val="20"/>
                <w:szCs w:val="20"/>
                <w:color w:val="auto"/>
              </w:rPr>
            </w:pPr>
            <w:r>
              <w:rPr>
                <w:rFonts w:ascii="Arial" w:cs="Arial" w:eastAsia="Arial" w:hAnsi="Arial"/>
                <w:sz w:val="18"/>
                <w:szCs w:val="18"/>
                <w:color w:val="auto"/>
              </w:rPr>
              <w:t>Joseph Colonnetta</w:t>
            </w:r>
          </w:p>
        </w:tc>
        <w:tc>
          <w:tcPr>
            <w:tcW w:w="2120" w:type="dxa"/>
            <w:vAlign w:val="bottom"/>
            <w:gridSpan w:val="2"/>
          </w:tcPr>
          <w:p>
            <w:pPr>
              <w:spacing w:after="0"/>
              <w:rPr>
                <w:sz w:val="20"/>
                <w:szCs w:val="20"/>
                <w:color w:val="auto"/>
              </w:rPr>
            </w:pPr>
            <w:r>
              <w:rPr>
                <w:rFonts w:ascii="Arial" w:cs="Arial" w:eastAsia="Arial" w:hAnsi="Arial"/>
                <w:sz w:val="18"/>
                <w:szCs w:val="18"/>
                <w:color w:val="auto"/>
              </w:rPr>
              <w:t>HBC Investments</w:t>
            </w:r>
          </w:p>
        </w:tc>
        <w:tc>
          <w:tcPr>
            <w:tcW w:w="210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880" w:type="dxa"/>
            <w:vAlign w:val="bottom"/>
          </w:tcPr>
          <w:p>
            <w:pPr>
              <w:spacing w:after="0"/>
              <w:rPr>
                <w:sz w:val="20"/>
                <w:szCs w:val="20"/>
                <w:color w:val="auto"/>
              </w:rPr>
            </w:pPr>
            <w:r>
              <w:rPr>
                <w:rFonts w:ascii="Arial" w:cs="Arial" w:eastAsia="Arial" w:hAnsi="Arial"/>
                <w:sz w:val="18"/>
                <w:szCs w:val="18"/>
                <w:color w:val="auto"/>
              </w:rPr>
              <w:t>Founding and General</w:t>
            </w: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ind w:left="1620" w:right="439" w:hanging="360"/>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entities listed in this table has priority and preference relative to our company with respect to the performance by each individual listed in this table of his obligations and the presentation by each such individual of business opportunities.</w:t>
      </w:r>
    </w:p>
    <w:p>
      <w:pPr>
        <w:spacing w:after="0" w:line="48" w:lineRule="exact"/>
        <w:rPr>
          <w:rFonts w:ascii="Arial" w:cs="Arial" w:eastAsia="Arial" w:hAnsi="Arial"/>
          <w:sz w:val="18"/>
          <w:szCs w:val="18"/>
          <w:color w:val="auto"/>
        </w:rPr>
      </w:pPr>
    </w:p>
    <w:p>
      <w:pPr>
        <w:ind w:left="1620" w:right="599" w:hanging="360"/>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individual listed has a fiduciary duty with respect to each of the listed entities opposite from his name.</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founder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redeem such shares in connection with the consummation of our initial business combination.</w:t>
      </w:r>
    </w:p>
    <w:p>
      <w:pPr>
        <w:spacing w:after="0" w:line="9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At the closing of our initial business combination, we may also pay consulting, success or finder fees to our sponsor, officers, directors, initial stockholders or their affiliates. We may pay such consulting, success or finder fees in the event that our initial stockholders, officers or directors provide us with specific target company, industry, financial or market expertise, as well as insights, relationships, services or resources in order to assess, negotiate and consummate an initial business combination. The amount of any such fee we pay will be based upon the prevailing market for similar services for comparable transactions at such time, and will be subject to the review of our audit committee pursuant to the audit committee’s policies and procedures relating to transactions that may present conflicts of interest. We would disclose any such fee in the proxy or tender offer materials used in connection with a proposed business combination.</w:t>
      </w:r>
    </w:p>
    <w:p>
      <w:pPr>
        <w:spacing w:after="0" w:line="113"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2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14"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92" w:lineRule="exact"/>
        <w:rPr>
          <w:sz w:val="20"/>
          <w:szCs w:val="20"/>
          <w:color w:val="auto"/>
        </w:rPr>
      </w:pPr>
    </w:p>
    <w:p>
      <w:pPr>
        <w:ind w:left="1800" w:right="69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Amounts shown in the “After Offering” column are calculated assuming no exercise of the over-allotment option and, therefore, the forfeiture of an aggregate of 562,500 shares of common stock held by our insiders. Unless otherwise indicated, we believe that all persons named in the table have sole voting and investment power with respect to all shares of common stock beneficially owned by them.</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ind w:left="440"/>
              <w:spacing w:after="0"/>
              <w:rPr>
                <w:sz w:val="20"/>
                <w:szCs w:val="20"/>
                <w:color w:val="auto"/>
              </w:rPr>
            </w:pPr>
            <w:r>
              <w:rPr>
                <w:rFonts w:ascii="Arial" w:cs="Arial" w:eastAsia="Arial" w:hAnsi="Arial"/>
                <w:sz w:val="14"/>
                <w:szCs w:val="14"/>
                <w:b w:val="1"/>
                <w:bCs w:val="1"/>
                <w:color w:val="auto"/>
              </w:rPr>
              <w:t>Before Offering</w:t>
            </w:r>
          </w:p>
        </w:tc>
        <w:tc>
          <w:tcPr>
            <w:tcW w:w="20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After Offering</w:t>
            </w:r>
          </w:p>
        </w:tc>
      </w:tr>
      <w:tr>
        <w:trPr>
          <w:trHeight w:val="26"/>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Approximate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Beneficially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 common</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r>
              <w:rPr>
                <w:rFonts w:ascii="Arial" w:cs="Arial" w:eastAsia="Arial" w:hAnsi="Arial"/>
                <w:sz w:val="17"/>
                <w:szCs w:val="17"/>
                <w:b w:val="1"/>
                <w:bCs w:val="1"/>
                <w:color w:val="auto"/>
                <w:w w:val="85"/>
                <w:vertAlign w:val="superscript"/>
              </w:rPr>
              <w:t>(2)</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r>
              <w:rPr>
                <w:rFonts w:ascii="Arial" w:cs="Arial" w:eastAsia="Arial" w:hAnsi="Arial"/>
                <w:sz w:val="17"/>
                <w:szCs w:val="17"/>
                <w:b w:val="1"/>
                <w:bCs w:val="1"/>
                <w:color w:val="auto"/>
                <w:w w:val="85"/>
                <w:vertAlign w:val="superscript"/>
              </w:rPr>
              <w:t>(3)</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w:t>
            </w:r>
          </w:p>
        </w:tc>
      </w:tr>
      <w:tr>
        <w:trPr>
          <w:trHeight w:val="277"/>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 Energy Holdings, LLC</w:t>
            </w:r>
            <w:r>
              <w:rPr>
                <w:rFonts w:ascii="Arial" w:cs="Arial" w:eastAsia="Arial" w:hAnsi="Arial"/>
                <w:sz w:val="23"/>
                <w:szCs w:val="23"/>
                <w:color w:val="auto"/>
                <w:vertAlign w:val="superscript"/>
              </w:rPr>
              <w:t>(4)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4,312,500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4,375,000</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22.41%</w:t>
            </w:r>
          </w:p>
        </w:tc>
      </w:tr>
      <w:tr>
        <w:trPr>
          <w:trHeight w:val="257"/>
        </w:trPr>
        <w:tc>
          <w:tcPr>
            <w:tcW w:w="4100" w:type="dxa"/>
            <w:vAlign w:val="bottom"/>
            <w:gridSpan w:val="2"/>
          </w:tcPr>
          <w:p>
            <w:pPr>
              <w:spacing w:after="0"/>
              <w:rPr>
                <w:sz w:val="20"/>
                <w:szCs w:val="20"/>
                <w:color w:val="auto"/>
              </w:rPr>
            </w:pPr>
            <w:r>
              <w:rPr>
                <w:rFonts w:ascii="Arial" w:cs="Arial" w:eastAsia="Arial" w:hAnsi="Arial"/>
                <w:sz w:val="18"/>
                <w:szCs w:val="18"/>
                <w:color w:val="auto"/>
              </w:rPr>
              <w:t>Joseph Drysdale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w:t>
            </w:r>
          </w:p>
        </w:tc>
      </w:tr>
      <w:tr>
        <w:trPr>
          <w:trHeight w:val="25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Jeffrey Kimes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r>
      <w:tr>
        <w:trPr>
          <w:trHeight w:val="256"/>
        </w:trPr>
        <w:tc>
          <w:tcPr>
            <w:tcW w:w="4100" w:type="dxa"/>
            <w:vAlign w:val="bottom"/>
            <w:gridSpan w:val="2"/>
          </w:tcPr>
          <w:p>
            <w:pPr>
              <w:spacing w:after="0"/>
              <w:rPr>
                <w:sz w:val="20"/>
                <w:szCs w:val="20"/>
                <w:color w:val="auto"/>
              </w:rPr>
            </w:pPr>
            <w:r>
              <w:rPr>
                <w:rFonts w:ascii="Arial" w:cs="Arial" w:eastAsia="Arial" w:hAnsi="Arial"/>
                <w:sz w:val="18"/>
                <w:szCs w:val="18"/>
                <w:color w:val="auto"/>
              </w:rPr>
              <w:t>Rosemarie Cicalese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Minnehan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r>
      <w:tr>
        <w:trPr>
          <w:trHeight w:val="256"/>
        </w:trPr>
        <w:tc>
          <w:tcPr>
            <w:tcW w:w="4100" w:type="dxa"/>
            <w:vAlign w:val="bottom"/>
            <w:gridSpan w:val="2"/>
          </w:tcPr>
          <w:p>
            <w:pPr>
              <w:spacing w:after="0"/>
              <w:rPr>
                <w:sz w:val="20"/>
                <w:szCs w:val="20"/>
                <w:color w:val="auto"/>
              </w:rPr>
            </w:pPr>
            <w:r>
              <w:rPr>
                <w:rFonts w:ascii="Arial" w:cs="Arial" w:eastAsia="Arial" w:hAnsi="Arial"/>
                <w:sz w:val="18"/>
                <w:szCs w:val="18"/>
                <w:color w:val="auto"/>
              </w:rPr>
              <w:t>Alberto Pontonio</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Canaan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gridSpan w:val="2"/>
          </w:tcPr>
          <w:p>
            <w:pPr>
              <w:spacing w:after="0"/>
              <w:rPr>
                <w:sz w:val="20"/>
                <w:szCs w:val="20"/>
                <w:color w:val="auto"/>
              </w:rPr>
            </w:pPr>
            <w:r>
              <w:rPr>
                <w:rFonts w:ascii="Arial" w:cs="Arial" w:eastAsia="Arial" w:hAnsi="Arial"/>
                <w:sz w:val="18"/>
                <w:szCs w:val="18"/>
                <w:color w:val="auto"/>
              </w:rPr>
              <w:t>Win Graham</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Colonnetta</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r>
      <w:tr>
        <w:trPr>
          <w:trHeight w:val="242"/>
        </w:trPr>
        <w:tc>
          <w:tcPr>
            <w:tcW w:w="4100" w:type="dxa"/>
            <w:vAlign w:val="bottom"/>
            <w:gridSpan w:val="2"/>
          </w:tcPr>
          <w:p>
            <w:pPr>
              <w:spacing w:after="0"/>
              <w:rPr>
                <w:sz w:val="20"/>
                <w:szCs w:val="20"/>
                <w:color w:val="auto"/>
              </w:rPr>
            </w:pPr>
            <w:r>
              <w:rPr>
                <w:rFonts w:ascii="Arial" w:cs="Arial" w:eastAsia="Arial" w:hAnsi="Arial"/>
                <w:sz w:val="18"/>
                <w:szCs w:val="18"/>
                <w:color w:val="auto"/>
              </w:rPr>
              <w:t>All officers, directors and director nominees as a</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group (8 individuals)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-1816735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-1816735</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-1816735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-1816735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hanging="360"/>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4" w:lineRule="exact"/>
        <w:rPr>
          <w:sz w:val="20"/>
          <w:szCs w:val="20"/>
          <w:color w:val="auto"/>
        </w:rPr>
      </w:pPr>
    </w:p>
    <w:p>
      <w:pPr>
        <w:ind w:left="1620" w:right="879" w:hanging="360"/>
        <w:spacing w:after="0" w:line="277"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following entities or individuals is c/o ROC Energy Holdings, LLC, 16400 Dallas Parkway, Dallas, Texas 75248.</w:t>
      </w:r>
    </w:p>
    <w:p>
      <w:pPr>
        <w:spacing w:after="0" w:line="48" w:lineRule="exact"/>
        <w:rPr>
          <w:rFonts w:ascii="Arial" w:cs="Arial" w:eastAsia="Arial" w:hAnsi="Arial"/>
          <w:sz w:val="18"/>
          <w:szCs w:val="18"/>
          <w:color w:val="auto"/>
        </w:rPr>
      </w:pPr>
    </w:p>
    <w:p>
      <w:pPr>
        <w:ind w:left="1620" w:hanging="360"/>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common stock.</w:t>
      </w:r>
    </w:p>
    <w:p>
      <w:pPr>
        <w:spacing w:after="0" w:line="103" w:lineRule="exact"/>
        <w:rPr>
          <w:rFonts w:ascii="Arial" w:cs="Arial" w:eastAsia="Arial" w:hAnsi="Arial"/>
          <w:sz w:val="18"/>
          <w:szCs w:val="18"/>
          <w:color w:val="auto"/>
        </w:rPr>
      </w:pPr>
    </w:p>
    <w:p>
      <w:pPr>
        <w:ind w:left="1620" w:right="1179" w:hanging="360"/>
        <w:spacing w:after="0" w:line="308" w:lineRule="auto"/>
        <w:tabs>
          <w:tab w:leader="none" w:pos="1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Does not include beneficial ownership of any shares of common stock underlying outstanding private units as such shares are not issuable within 60 days of the date of this prospectus</w:t>
      </w:r>
    </w:p>
    <w:p>
      <w:pPr>
        <w:spacing w:after="0" w:line="24" w:lineRule="exact"/>
        <w:rPr>
          <w:rFonts w:ascii="Arial" w:cs="Arial" w:eastAsia="Arial" w:hAnsi="Arial"/>
          <w:sz w:val="17"/>
          <w:szCs w:val="17"/>
          <w:color w:val="auto"/>
        </w:rPr>
      </w:pPr>
    </w:p>
    <w:p>
      <w:pPr>
        <w:ind w:left="1620" w:hanging="360"/>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sponsor, ROC Energy Holdings, LLC, is the record holder of the shares reported herein.</w:t>
      </w:r>
    </w:p>
    <w:p>
      <w:pPr>
        <w:spacing w:after="0" w:line="23" w:lineRule="exact"/>
        <w:rPr>
          <w:rFonts w:ascii="Arial" w:cs="Arial" w:eastAsia="Arial" w:hAnsi="Arial"/>
          <w:sz w:val="18"/>
          <w:szCs w:val="18"/>
          <w:color w:val="auto"/>
        </w:rPr>
      </w:pPr>
    </w:p>
    <w:p>
      <w:pPr>
        <w:ind w:left="1620" w:right="419"/>
        <w:spacing w:after="0" w:line="251" w:lineRule="auto"/>
        <w:rPr>
          <w:rFonts w:ascii="Arial" w:cs="Arial" w:eastAsia="Arial" w:hAnsi="Arial"/>
          <w:sz w:val="18"/>
          <w:szCs w:val="18"/>
          <w:color w:val="auto"/>
        </w:rPr>
      </w:pPr>
      <w:r>
        <w:rPr>
          <w:rFonts w:ascii="Arial" w:cs="Arial" w:eastAsia="Arial" w:hAnsi="Arial"/>
          <w:sz w:val="18"/>
          <w:szCs w:val="18"/>
          <w:color w:val="auto"/>
        </w:rPr>
        <w:t>FP SPAC 2, LLC is the general partner of our sponsor and has voting and dispositive power over the shares held by our sponsor. FP SPAC 2, LLC is controlled by Joseph Drysdale, Jeff Brownlow and Matt Mathison, each of whom is a Managing Partner of Fifth Partners. Consequently, such persons may be deemed the beneficial owner of the shares held by our sponsor and have voting and dispositive control over such securities. Such persons disclaim beneficial ownership of any shares other than to the extent he may have a pecuniary interest therein, directly or indirectly. Each of our officers and directors and strategic advisors are members of our sponsor. Each of our directors, officers and advisors disclaims any beneficial ownership of any shares held by ROC Energy Holdings, LLC other than his or her pecuniary interest therein.</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248" w:lineRule="auto"/>
        <w:rPr>
          <w:sz w:val="20"/>
          <w:szCs w:val="20"/>
          <w:color w:val="auto"/>
        </w:rPr>
      </w:pPr>
      <w:r>
        <w:rPr>
          <w:rFonts w:ascii="Arial" w:cs="Arial" w:eastAsia="Arial" w:hAnsi="Arial"/>
          <w:sz w:val="18"/>
          <w:szCs w:val="18"/>
          <w:color w:val="auto"/>
        </w:rPr>
        <w:t>Immediately after this offering, our insiders will beneficially own 20% of the then issued and outstanding shares of common stock (not including the private units and underlying securities and the representative founder shares and assuming they do not purchase units in this offering).</w:t>
      </w:r>
    </w:p>
    <w:p>
      <w:pPr>
        <w:spacing w:after="0" w:line="101"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120"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If the underwriters do not exercise all or a portion of the over- allotment option, an aggregate of up to 562,500 founder shares will be forfeited in amounts as determined amongst the holders of such founder shares and not proportional to their ownership percentages in our shares of common stock. Only a number of shares necessary to maintain our insiders’ collective 20% ownership interest in our shares of common stock after giving effect to the offering and the exercise, if any, of the underwriters’ over-allotment option will be forfeited.</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All of the founder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one year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one year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562,500 of the founder shares may also be released from escrow earlier than this date for cancellation if the over-allotment option is not exercised in full as described above.</w:t>
      </w:r>
    </w:p>
    <w:p>
      <w:pPr>
        <w:spacing w:after="0" w:line="99"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Our sponsor has committed to purchase an aggregate of 625,000 private units (or 692,500 private units if the over-allotment option is exercised in full) at a price of $10.00 per private rights ($6,250,000 in the aggregate, or $6,925,000 if the over-allotment option is exercised in full) in a private placement that will close simultaneously with the closing of this offering. The private units are identical to the units sold in this offering. Additionally, our sponsor agreed not to transfer, assign or sell any of the private units or underlying securities (except to the same permitted transferees as the founder shares and provided the transferees agree to the same terms and restrictions as the permitted transferees of the founder shares must agree to, each as described above) until the completion of our initial business combination.</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order to meet our working capital needs following the consummation of this offering, our insiders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units at a price of $10.00 per private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or their affiliates, will be repaid only from amounts remaining outside our trust account, if any.</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Our sponsor, its principals and our officers and directors are deemed to be our “promoters” as such term is defined under the federal securities laws.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1260" w:right="439" w:firstLine="360"/>
        <w:spacing w:after="0" w:line="27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units (and underlying securities), the holders of the representative founder shares and any shares our insiders or their affiliates may be issued in payment of working capital loans made to us, will be entitled to registration rights pursuant to an agreement to be signed prior to or on the effective date</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of this offering. The holders of a majority of these securities are entitled to make up to two demands that we register such securities. Notwithstanding anything to the contrary, the underwriters may only make a demand on one occasion and only during the 5-year period beginning on the effective date of the registration statement of which this prospectus forms a part. The holders of the majority of the founder shares can elect to exercise these registration rights at any time commencing three months prior to the date on which these shares of common stock are to be released from escrow. The holders of a majority of</w:t>
      </w:r>
    </w:p>
    <w:p>
      <w:pPr>
        <w:spacing w:after="0" w:line="1"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provided, however, that the underwriters may participate in a “piggy-back” registration only during the 7-year period beginning on the effective date of the registration statement of which this prospectus forms a part.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On October 7, 2021, our sponsor purchased an aggregate of 4,312,500 shares of our common stock for an aggregate purchase price of $25,000 in cash, or approximately $0.006 per share. We refer to these shares throughout this prospectus as the “founder shares”. The number of founder shares issued was determined based on the expectation that such founder shares would represent 20% of the outstanding shares upon completion of this offering (not including the private units and underlying securities and the representative founder shares and assuming they do not purchase units in this offering).</w:t>
      </w:r>
    </w:p>
    <w:p>
      <w:pPr>
        <w:spacing w:after="0" w:line="10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If the underwriters do not exercise all or a portion of their over- allotment option, our insiders will forfeit up to an aggregate of 562,500 founder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22"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$10.00 per share sold to the public in this offering.</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Our sponsor has committed to purchase from us 625,000 private units (or 692,500 private units if the over- allotment option is exercised in full), or “private units,” at $10.00 per private unit for a total purchase price of $6,250,000 (or $6,925,000 if the over- allotment option is exercised in full) in a private placement that will close simultaneously with the closing of this offering. The private units are identical to the units sold in this offering. Additionally, our sponsor has agreed not to transfer, assign or sell any of the private units or underlying securities (except to the same permitted transferees as the founder shares and provided the transferees agree to the same terms and restrictions as the permitted transferees of the founder shares must agree to, each as described above) until after the completion of our initial business combination.</w:t>
      </w:r>
    </w:p>
    <w:p>
      <w:pPr>
        <w:spacing w:after="0" w:line="11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On September 2, 2021, our sponsor agreed to loan us up to $300,000 to be used for a portion of the expenses of this offering. As of October 13, 2021, we had borrowed $32,500 under the promissory note with our sponsor. These loans are non-interest bearing, unsecured and are due the earlier of the closing of this offering or the date we determine not to pursue this public offering. The loans will be repaid upon the closing of this offering out of the offering proceeds not held in the trust account. The value of our sponsor’s interest in this transaction corresponds to the principal amount issued and outstanding under any such loan.</w:t>
      </w:r>
    </w:p>
    <w:p>
      <w:pPr>
        <w:spacing w:after="0" w:line="11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units at a price of $10.00 per private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or their affiliates, will be repaid only from amounts remaining outside our trust account, if any.</w:t>
      </w:r>
    </w:p>
    <w:p>
      <w:pPr>
        <w:spacing w:after="0" w:line="10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holders of our founder shares issued and outstanding on the date of this prospectus, as well as the holders of the private units (and underlying securities), the holders of the representative founder shares and any shares our insiders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Notwithstanding anything to the contrary, the underwriters may only make a demand on one occasion and only during the 5-year period beginning on the effective date of the registration</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statement of which this prospectus forms a part. The holders of the majority of the founder shares can elect to exercise these registration rights at any time commencing three months prior to the date on which these shares of common stock are to be released from escrow. The holders of a majority of the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provided, however, that the underwriters may participate in a “piggy -back” registration only during the 7- year period beginning on the effective date of the registration statement of which this prospectus forms a part. We will bear the expenses incurred in connection with the filing of any such registration statements.</w:t>
      </w:r>
    </w:p>
    <w:p>
      <w:pPr>
        <w:spacing w:after="0" w:line="107"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One of our director nominees, Alberto Pontonio, has agreed that, commencing on the date of this prospectus through the earlier of our consummation of our initial business combination or our liquidation, he will, without charge to us, make available to us certain general and administrative services, including office space, utilities and secretarial support, as we may require from time to time. We have agreed to pay Fifth Partners, an affiliate of our sponsor and certain of our director nominees, an aggregate of $13,000 per month for these services. In addition, Fifth Partners will be entitled to be reimbursed for any out -of-pocket expenses. Upon completion of our initial business combination or our liquidation, we will cease paying these monthly fees.</w:t>
      </w:r>
    </w:p>
    <w:p>
      <w:pPr>
        <w:spacing w:after="0" w:line="12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Other than the $13,000 per month administrative fee, no compensation or fees of any kind, including finder’s fees, consulting fees or other similar compensation, will be paid to any of our initial shareholders, officers or directors who owned our shares of our common stock prior to this offering, or to any of their respective affiliates, prior to or with respect to the business combination (regardless of the type of transaction that it is) . 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w:t>
      </w:r>
    </w:p>
    <w:p>
      <w:pPr>
        <w:spacing w:after="0" w:line="2" w:lineRule="exact"/>
        <w:rPr>
          <w:sz w:val="20"/>
          <w:szCs w:val="20"/>
          <w:color w:val="auto"/>
        </w:rPr>
      </w:pPr>
    </w:p>
    <w:p>
      <w:pPr>
        <w:ind w:left="1260" w:right="579"/>
        <w:spacing w:after="0" w:line="253" w:lineRule="auto"/>
        <w:tabs>
          <w:tab w:leader="none" w:pos="1529" w:val="left"/>
        </w:tabs>
        <w:numPr>
          <w:ilvl w:val="0"/>
          <w:numId w:val="66"/>
        </w:numPr>
        <w:rPr>
          <w:rFonts w:ascii="Arial" w:cs="Arial" w:eastAsia="Arial" w:hAnsi="Arial"/>
          <w:sz w:val="17"/>
          <w:szCs w:val="17"/>
          <w:color w:val="auto"/>
        </w:rPr>
      </w:pPr>
      <w:r>
        <w:rPr>
          <w:rFonts w:ascii="Arial" w:cs="Arial" w:eastAsia="Arial" w:hAnsi="Arial"/>
          <w:sz w:val="17"/>
          <w:szCs w:val="17"/>
          <w:color w:val="auto"/>
        </w:rPr>
        <w:t>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1"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6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24"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units held in the trust account prior to the completion of our initial business combination:</w:t>
      </w:r>
    </w:p>
    <w:p>
      <w:pPr>
        <w:spacing w:after="0" w:line="80" w:lineRule="exact"/>
        <w:rPr>
          <w:sz w:val="20"/>
          <w:szCs w:val="20"/>
          <w:color w:val="auto"/>
        </w:rPr>
      </w:pPr>
    </w:p>
    <w:p>
      <w:pPr>
        <w:ind w:left="1800" w:right="83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Repayment of an aggregate of up to $300,000 in loans that may be made to us by our sponsor to cover offering-related and organizational expenses;</w:t>
      </w:r>
    </w:p>
    <w:p>
      <w:pPr>
        <w:spacing w:after="0" w:line="62"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Payment of an aggregate of $13,000 per month and reimbursement for any out-of-pocket expenses to Fifth Partners, an affiliate of our sponsor and certain of our director nominees, for office space and related services relating to our search for, and consummation of, an initial business combination;</w:t>
      </w:r>
    </w:p>
    <w:p>
      <w:pPr>
        <w:spacing w:after="0" w:line="57" w:lineRule="exact"/>
        <w:rPr>
          <w:rFonts w:ascii="Arial" w:cs="Arial" w:eastAsia="Arial" w:hAnsi="Arial"/>
          <w:sz w:val="17"/>
          <w:szCs w:val="17"/>
          <w:color w:val="auto"/>
        </w:rPr>
      </w:pPr>
    </w:p>
    <w:p>
      <w:pPr>
        <w:ind w:left="1800" w:right="579" w:hanging="180"/>
        <w:spacing w:after="0" w:line="308"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Payment of consulting, success or finder fees to our sponsor, officers, directors, initial shareholders or their affiliates in connection with the consummation of our initial business combination;</w:t>
      </w:r>
    </w:p>
    <w:p>
      <w:pPr>
        <w:spacing w:after="0" w:line="3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62"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Up to $1,500,000 of such loans may be convertible into units, at a price of $10.00 per unit, at the option of the lender.</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payments may be funded using the net proceeds of this offering and the sale of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private units not held in the trust account or, upon completion of the initial business combination, from 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As of the effective date of the registration statement of which this prospectus forms a part, our amended and restated certificate of incorporation will authorize the issuance of 100,000,000 shares of common stock, par value $0.0001. As of the date of this prospectus, 4,312,500 shares of common stock are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Each unit has an offering price of $10.00 and consists of one share of common stock and one right. Each right entitles the holder thereof to receive one-tenth (1/10) of a share of common stock upon consummation of our initial business combination. In addition, we will not issue fractional shares in connection with an exchange of rights. Fractional shares will either be rounded down to the nearest whole share or otherwise addressed in accordance with the applicable provisions of Delaware Law. As a result, you must hold rights in multiples of 10 in order to receive shares for all of your rights upon closing of a business combination.</w:t>
      </w:r>
    </w:p>
    <w:p>
      <w:pPr>
        <w:spacing w:after="0" w:line="90"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common stock and rights comprising the units will begin separate trading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 EarlyBirdCapital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rights commence separate trading, holders will have the option to continue to hold units or separate their units into the component pieces. Holders will need to have their brokers contact our transfer agent in order to separate the units into shares of common stock and rights.</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In no event will the common stock and rights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reflect the exercise of the underwriters’ over-allotment option.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founder shares and the private shares, and any shares acquired in this offering or following this offering in the open market, in favor of the proposed business combination.</w:t>
      </w:r>
    </w:p>
    <w:p>
      <w:pPr>
        <w:spacing w:after="0" w:line="125"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8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Pursuant to our amended and restated certificate of incorporation, if we do not consummate our initial business combination within 12 months from the closing of this offering (or up to 18 months from the closing of this offering if we extend the period of time to consummate a business combination), we will</w:t>
      </w:r>
    </w:p>
    <w:p>
      <w:pPr>
        <w:ind w:left="1260" w:right="459"/>
        <w:spacing w:after="0" w:line="236" w:lineRule="auto"/>
        <w:tabs>
          <w:tab w:leader="none" w:pos="14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founder shares and private shares</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stockholders have no redemption, preemptive or other subscription rights and there are no sinking fund or redemption provisions applicable to the shares of common stock, except that public stockholders have the right to sell their shares to us in any tender offer or have their shares of common stock redeemed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redeeming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included as part of units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Each holder of a right will receive one -tenth (1/10) of one share of common stock upon consummation of our initial business combination, even if the holder of such right redeemed all shares of common stock held by it in connection with the initial business combination. No additional consideration will be required to be paid by a holder of rights in order to receive its additional shares upon consummation of an initial business combination, as the consideration related thereto has been included in the unit purchase price paid for by investors in this offering. 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the 1/10 of a share underlying each right (without paying any additional consideration) upon consummation of the business combination. More specifically, the right holder will be required to indicate its election to convert the rights into underlying shares as well as to return the original rights certificates to us. We will not issue fractional shares upon exchange of the rights. If, upon conversion of the rights, a holder would be entitled to receive a fractional interest in a share, we will round down to the nearest whole number of the number of shares to be issued to holder and, upon conversion, may pay in cash the fair value of fractions of a share as of the time when those entitled to receive such fractions are determined. Accordingly, unless you are separating a multiple of ten units, your rights may expire worthless. We will make the determination of how we are treating fractional shares at the time of our initial business combination and will include such determination in the proxy materials we will send to stockholders for their consideration of such initial business combination</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such funds with respect to their rights, nor will they receive any distribution from our assets held outside of the trust account with respect to such rights, and the rights will expire worthless.</w:t>
      </w:r>
    </w:p>
    <w:p>
      <w:pPr>
        <w:spacing w:after="0" w:line="107"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7"/>
          <w:szCs w:val="17"/>
          <w:color w:val="auto"/>
        </w:rPr>
        <w:t>As soon as practicable upon the consummation of our initial business combination, we will direct registered holders of the rights to return their rights to our rights agent. Upon receipt of the rights, the</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rights agent will issue to the registered holder of such rights the number of full shares of common stock to which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you might not receive the common stock underlying the rights.</w:t>
      </w:r>
    </w:p>
    <w:p>
      <w:pPr>
        <w:spacing w:after="0" w:line="10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shares issuable upon conversion of the rights will be freely tradable (except to the extent held by affiliates of ours). We will not issue fractional shares upon conversion of the rights. If, upon conversion of the rights, a holder would be entitled to receive a fractional interest in a share, we may, upon conversion pay in cash the fair value of fractions of a share as of the time when those entitled to receive such fractions are determined. We will make the determination of how we are treating fractional shares at the time of our initial business combination and will include such determination in the proxy materials we will send to stockholders for their consideration of such initial business combination. We will not issue fractional shares in connection with an exchange of rights. Fractional shares will either be rounded down to the nearest whole share or otherwise addressed in accordance with the applicable provisions of the Delaware General Corporation Law. As a result, you must hold rights in multiples of 10 in order to receive shares for all of your rights upon closing of a business combination.</w:t>
      </w:r>
    </w:p>
    <w:p>
      <w:pPr>
        <w:spacing w:after="0" w:line="1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rights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rights agreement will designate the courts of the State of New York or the United States District Court for the Southern District of New York as the sole and exclusive forum for certain types of actions and proceedings that may be initiated by holders of our rights, which could limit the ability of right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While the payment of any cash dividends subsequent to a business combination will be within the discretion of our board of directors, our board of directors is not currently contemplating and does not anticipate declaring any stock dividends prior to our business combination, except if we increase the size of the offering pursuant to Rule 462(b) under the Securities Act, in which case we will effect a stock dividend immediately prior to the consummation of the offering in such amount as to maintain the number of founder shares at 20.0% of our issued and outstanding shares of our common stock upon the consummation of this offering (not including the private units and underlying securities and the representative founder shares and assuming they do not purchase units in this offering). Further, if we incur any indebtedness, our ability to declare dividends may be limited by restrictive covenants we may agree to in connection therewith.</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Rights Agent</w:t>
      </w:r>
    </w:p>
    <w:p>
      <w:pPr>
        <w:spacing w:after="0" w:line="14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transfer agent for our common stock and for our rights is Continental Stock Transfer &amp; Trust Company. We have agreed to indemnify Continental Stock Transfer &amp; Trust Company in its roles as transfer agent and rights agent, its agents and each of its stockholders, directors, officers and employees against all liabilities, including judgments, costs and reasonable counsel fees that may arise out of acts</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color w:val="auto"/>
        </w:rPr>
        <w:t>performed or omitted for its activities in that capacity, except for any liability due to any gross negligence, willful misconduct or bad faith of the indemnified person or entity.</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148" w:lineRule="exact"/>
        <w:rPr>
          <w:sz w:val="20"/>
          <w:szCs w:val="20"/>
          <w:color w:val="auto"/>
        </w:rPr>
      </w:pPr>
    </w:p>
    <w:p>
      <w:pPr>
        <w:ind w:left="1260" w:right="899" w:firstLine="360"/>
        <w:spacing w:after="0" w:line="286" w:lineRule="auto"/>
        <w:rPr>
          <w:sz w:val="20"/>
          <w:szCs w:val="20"/>
          <w:color w:val="auto"/>
        </w:rPr>
      </w:pPr>
      <w:r>
        <w:rPr>
          <w:rFonts w:ascii="Arial" w:cs="Arial" w:eastAsia="Arial" w:hAnsi="Arial"/>
          <w:sz w:val="17"/>
          <w:szCs w:val="17"/>
          <w:color w:val="auto"/>
        </w:rPr>
        <w:t>We will be subject to the provisions of Section 203 of Delaware General Corporation Law, or the DGCL, regulating corporate takeovers upon completion of this offering. This statute prevents certain Delaware corporations, under certain circumstances, from engaging in a “business combination” with:</w:t>
      </w:r>
    </w:p>
    <w:p>
      <w:pPr>
        <w:spacing w:after="0" w:line="57" w:lineRule="exact"/>
        <w:rPr>
          <w:sz w:val="20"/>
          <w:szCs w:val="20"/>
          <w:color w:val="auto"/>
        </w:rPr>
      </w:pPr>
    </w:p>
    <w:p>
      <w:pPr>
        <w:ind w:left="1800" w:right="99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0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62" w:lineRule="exact"/>
        <w:rPr>
          <w:sz w:val="20"/>
          <w:szCs w:val="20"/>
          <w:color w:val="auto"/>
        </w:rPr>
      </w:pPr>
    </w:p>
    <w:p>
      <w:pPr>
        <w:ind w:left="1800" w:right="419" w:hanging="180"/>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62" w:lineRule="exact"/>
        <w:rPr>
          <w:rFonts w:ascii="Arial" w:cs="Arial" w:eastAsia="Arial" w:hAnsi="Arial"/>
          <w:sz w:val="18"/>
          <w:szCs w:val="18"/>
          <w:color w:val="auto"/>
        </w:rPr>
      </w:pPr>
    </w:p>
    <w:p>
      <w:pPr>
        <w:ind w:left="1800" w:right="839" w:hanging="180"/>
        <w:spacing w:after="0" w:line="286"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57"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62"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resolution of the board of directors, or by the Chairman or the President.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Immediately after this offering, we will have 19,525,000 shares of common stock outstanding, 22,405,000 shares of common stock if the over- allotment option is exercised in full. Of these shares, the 15,000,000 shares of common stock sold in this offering, or 17,250,000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person who has beneficially owned restricted shares of common stock or rights for at least</w:t>
      </w:r>
    </w:p>
    <w:p>
      <w:pPr>
        <w:spacing w:after="0" w:line="12" w:lineRule="exact"/>
        <w:rPr>
          <w:sz w:val="20"/>
          <w:szCs w:val="20"/>
          <w:color w:val="auto"/>
        </w:rPr>
      </w:pPr>
    </w:p>
    <w:p>
      <w:pPr>
        <w:jc w:val="both"/>
        <w:ind w:left="1260" w:right="639"/>
        <w:spacing w:after="0" w:line="248" w:lineRule="auto"/>
        <w:rPr>
          <w:sz w:val="20"/>
          <w:szCs w:val="20"/>
          <w:color w:val="auto"/>
        </w:rPr>
      </w:pPr>
      <w:r>
        <w:rPr>
          <w:rFonts w:ascii="Arial" w:cs="Arial" w:eastAsia="Arial" w:hAnsi="Arial"/>
          <w:sz w:val="17"/>
          <w:szCs w:val="17"/>
          <w:color w:val="auto"/>
        </w:rPr>
        <w:t>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w:t>
      </w:r>
    </w:p>
    <w:p>
      <w:pPr>
        <w:spacing w:after="0" w:line="2"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81" w:lineRule="exact"/>
        <w:rPr>
          <w:sz w:val="20"/>
          <w:szCs w:val="20"/>
          <w:color w:val="auto"/>
        </w:rPr>
      </w:pPr>
    </w:p>
    <w:p>
      <w:pPr>
        <w:ind w:left="1800" w:right="519" w:hanging="180"/>
        <w:spacing w:after="0" w:line="26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approximately 195,250 shares of common stock immediately after this offering (or approximately 224,050 shares of common stock if the over-allotment option is exercised in full); and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0" w:lineRule="exact"/>
        <w:rPr>
          <w:sz w:val="20"/>
          <w:szCs w:val="20"/>
          <w:color w:val="auto"/>
        </w:rPr>
      </w:pPr>
    </w:p>
    <w:p>
      <w:pPr>
        <w:ind w:left="1800" w:hanging="180"/>
        <w:spacing w:after="0"/>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15"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As a result, it is likely that pursuant to Rule 144, our insiders will be able to sell their founder shares freely without registration one year after we have completed our initial business combination assuming they are not an affiliate of ours at that time.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units (and underlying securities), the holders of the representative founder shares and any shares our insiders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8" w:lineRule="auto"/>
        <w:rPr>
          <w:sz w:val="20"/>
          <w:szCs w:val="20"/>
          <w:color w:val="auto"/>
        </w:rPr>
      </w:pPr>
      <w:r>
        <w:rPr>
          <w:rFonts w:ascii="Arial" w:cs="Arial" w:eastAsia="Arial" w:hAnsi="Arial"/>
          <w:sz w:val="17"/>
          <w:szCs w:val="17"/>
          <w:color w:val="auto"/>
        </w:rPr>
        <w:t>register such securities. Notwithstanding anything to the contrary, the underwriters may only make a demand on one occasion and only during the 5-year period beginning on the effective date of the registration statement of which this prospectus forms a part. The holders of the majority of the founder shares can elect to exercise these registration rights at any time commencing three months prior to the date on which these shares of common stock are to be released from escrow. The holders of a majority of</w:t>
      </w:r>
    </w:p>
    <w:p>
      <w:pPr>
        <w:spacing w:after="0" w:line="3"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provided, however, that the underwriters may participate in a “piggy-back” registration only during the 7-year period beginning on the effective date of the registration statement of which this prospectus forms a part. We will bear the expenses incurred in connection with the filing of any such registration statements.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our Securities</w:t>
      </w:r>
    </w:p>
    <w:p>
      <w:pPr>
        <w:spacing w:after="0" w:line="14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We expect our units, common stock and rights to be quoted on the NYSE under the symbols “ROC.U,” “ROC” and “ROC.R,” respectively. We anticipate that our units will be listed on the NYSE on or promptly after the effective date of the registration statement. Following the date the shares of our common stock and rights are eligible to trade separately, we anticipate that the shares of our common stock and rights will be listed separately and as a unit on the NYSE. We cannot guarantee that our securities will be approved for listing on the NYSE or that they will continue to be listed on the NYSE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7"/>
          <w:szCs w:val="17"/>
          <w:color w:val="auto"/>
        </w:rPr>
        <w:t>The following discussion summarizes certain U.S. federal income tax considerations generally applicable to the acquisition, ownership and disposition of our units (each consisting of one share of our common stock and one right to receive one-tenth of one share of our common stock) that are purchased in this offering by U.S. Holders (as defined below) and Non- U.S. Holders (as defined below). Because the components of a unit are generally separable at the option of the holder, the holder of a unit generally should be treated, for U.S. federal income tax purposes, as the owner of the underlying share of our common stock and one right components of the unit. As a result, the discussion below with respect to holders of shares of our common stock and rights should also apply to holders of units (as the deemed owners of the underlying share of our common stock and rights that constitute the units).</w:t>
      </w:r>
    </w:p>
    <w:p>
      <w:pPr>
        <w:spacing w:after="0" w:line="116"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 This discussion assumes that the shares of our common stock and rights will trade separately and that any distributions made (or deemed made) by us on the shares of our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87" w:lineRule="exact"/>
        <w:rPr>
          <w:sz w:val="20"/>
          <w:szCs w:val="20"/>
          <w:color w:val="auto"/>
        </w:rPr>
      </w:pPr>
    </w:p>
    <w:p>
      <w:pPr>
        <w:ind w:left="1800" w:hanging="180"/>
        <w:spacing w:after="0"/>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sponsor, officers, directors or other holders of our founder shares or private placement units;</w:t>
      </w:r>
    </w:p>
    <w:p>
      <w:pPr>
        <w:spacing w:after="0" w:line="101" w:lineRule="exact"/>
        <w:rPr>
          <w:rFonts w:ascii="Arial" w:cs="Arial" w:eastAsia="Arial" w:hAnsi="Arial"/>
          <w:sz w:val="17"/>
          <w:szCs w:val="17"/>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90" w:lineRule="exact"/>
        <w:rPr>
          <w:rFonts w:ascii="Arial" w:cs="Arial" w:eastAsia="Arial" w:hAnsi="Arial"/>
          <w:sz w:val="18"/>
          <w:szCs w:val="18"/>
          <w:color w:val="auto"/>
        </w:rPr>
      </w:pPr>
    </w:p>
    <w:p>
      <w:pPr>
        <w:ind w:left="1800" w:right="479" w:hanging="180"/>
        <w:spacing w:after="0" w:line="342" w:lineRule="auto"/>
        <w:tabs>
          <w:tab w:leader="none" w:pos="1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2" w:lineRule="exact"/>
        <w:rPr>
          <w:rFonts w:ascii="Arial" w:cs="Arial" w:eastAsia="Arial" w:hAnsi="Arial"/>
          <w:sz w:val="16"/>
          <w:szCs w:val="16"/>
          <w:color w:val="auto"/>
        </w:rPr>
      </w:pPr>
    </w:p>
    <w:p>
      <w:pPr>
        <w:ind w:left="1800" w:right="63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 persons subject to the alternative minimum tax;</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10"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5"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As used herein, the term “U.S. Holder” means a beneficial owner of units, shares of our common stock or rights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24"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94"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13"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to an additional PHC tax, currently 20%, on our undistributed PHC income, which generally includes our taxable income, subject to certain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common stock and one right, where each right entitles the holder thereof to receive one-tenth (1/10) of one share of common stock upon consummation of our initial business combination, and we intend to treat the acquisition of a unit in this manner. For U.S. federal income tax purposes, each holder of a unit must allocate the purchase price paid by such holder for such unit between the one share of our common stock and the one- half of one right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common stock and one right should constitute the holder’s initial tax basis in such share and one right, respectively. Any disposition of a unit should be treated for U.S. federal income tax purposes as a disposition of the share of our common stock and one right comprising the unit, and the amount realized on the disposition should be allocated between the share of our common stock and one right based on their respective relative fair market values at the time of disposition. The separation of the share of our common stock and the one right constituting a unit should not be a taxable event for U.S. federal income tax purposes.</w:t>
      </w:r>
    </w:p>
    <w:p>
      <w:pPr>
        <w:spacing w:after="0" w:line="31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foregoing treatment of the shares of our common stock and rights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 The balance of this discussion assumes that the characterization of the units described above is respected for U.S. federal income tax purposes.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If we pay distributions in cash or other property (other than certain distributions of our stock or rights to acquire our stock) to U.S. Holders of our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common stock. Any remaining excess will be treated as gain realized on the sale or other disposition of the shares of our common stock and will be treated as described under “U.S. Holders — Gain or Loss on Sale, Taxable Exchange or Other Taxable Disposition of Our Common Stock and Rights” below.</w:t>
      </w:r>
    </w:p>
    <w:p>
      <w:pPr>
        <w:spacing w:after="0" w:line="10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 xml:space="preserve">the preferential rate that applies to qualified dividend income. </w:t>
      </w:r>
      <w:r>
        <w:rPr>
          <w:rFonts w:ascii="Arial" w:cs="Arial" w:eastAsia="Arial" w:hAnsi="Arial"/>
          <w:sz w:val="18"/>
          <w:szCs w:val="18"/>
          <w:i w:val="1"/>
          <w:iCs w:val="1"/>
          <w:color w:val="auto"/>
        </w:rPr>
        <w:t>Gain or Loss on Sale, Taxable Exchange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Taxable Disposition of Our Common Stock and Rights</w:t>
      </w:r>
    </w:p>
    <w:p>
      <w:pPr>
        <w:spacing w:after="0" w:line="90"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 U.S. Holder generally will recognize capital gain or loss on a sale or other taxable disposition of our shares of common stock or rights (including on our dissolution and liquidation if we do not complete an initial business combination within the required time period). Any such capital gain or loss generally will be long-term capital gain or loss if the U.S. Holder’s holding period for such shares of our common stock or rights exceeds one year. Long-term capital gains recognized by a non -corporate U.S. holder are currently eligible to be taxed preferential rates. It is unclear, however, whether certain redemption rights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would be subject to short -term capital gain treatment and would be taxed at regular ordinary income tax rates. The deductibility of capital losses is subject to limitations.</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shares of our common stock or rights are held as part of units at the time of the disposition, the portion of the amount realized on such disposition that is allocated to the shares of our common stock or rights based upon the then relative fair market values of the shares of our common stock and the rights included in the units) and (ii) the U.S. Holder’s adjusted tax basis in its shares of our common stock or rights so disposed of. A U.S. Holder’s adjusted tax basis in its shares of our common stock and rights generally will equal the U.S. Holder’s acquisition cost (that is, the portion of the purchase price of a unit allocated to a share of our common stock or one right, as described above under “— Allocation of Purchase Price and Characterization of a Unit”) reduced, in the case of a share of our common stock, by any prior distributions treated as a return of capital. See “U.S. Holders — Acquisition of Common Stock Pursuant to the Rights” below for a discussion regarding a U.S. Holder’s tax basis in a share of our common stock acquired pursuant to the rights.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 of Our Common Stock</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In the event that a U.S. Holder’s shares of our common stock are redeemed pursuant to the redemption provisions described in this prospectus under “Description of Securities — Common Stock” or if we purchase a U.S. Holder’s shares of our common stock in an open market transaction (each referred to herein as a “redemption”), the treatment of the redemption for U.S. federal income tax purposes will depend on whether it qualifies as a sale or exchange of the shares of our common stock under Section 302 of the Code. If the redemption qualifies as a sale or exchange of the shares of our common stock under the tests described below, the U.S. Holder will be treated as described under “U.S. Holders — Gain or Loss on Sale, Taxable Exchange or Other Taxable Disposition of Our Common Stock and Rights” above. If the redemption does not qualify as a sale or exchange of the shares of our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common stock generally will be treated as a sale or exchange of the shares of our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10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possibly include shares of our common stock which could be acquired pursuant to the</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rights. In order to meet the “substantially disproportionate” test, the percentage of our outstanding voting shares actually and constructively owned by the U.S. Holder immediately following the redemption of shares of our common stock must, among other requirements, be less than 80% of the percentage of our outstanding voting stock actually and constructively owned by the U.S. Holder immediately before the redemption. Prior to our initial business combination, the shares of our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0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common stock will be added to the U.S. Holder’s adjusted tax basis in its remaining shares, or, if it has none, to the U.S. Holder’s adjusted tax basis in its rights or possibly in other stock constructively owned by it.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Acquisition of Common Stock Pursuant to the Rights</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general, a U.S. Holder should not recognize gain or loss upon the acquisition of common stock pursuant to the rights. The tax basis of common stock acquired pursuant to the rights should be equal to such U.S. Holder’s tax basis in such rights. The holding period of such common stock should begin on the day after the receipt of such common stock pursuant to such rights. The tax treatment of a right that expires worthless is unclear. U.S. Holders of rights should consult their own tax advisors regarding the tax treatment of any losses that result if the rights expire worthless.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162"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This section applies to “Non-U.S. Holders.” As used herein, the term “Non-U.S. Holder” means a beneficial owner of our units, common stock or rights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Taxation of Distributions</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rights or other property subsequently</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53" w:lineRule="auto"/>
        <w:rPr>
          <w:sz w:val="20"/>
          <w:szCs w:val="20"/>
          <w:color w:val="auto"/>
        </w:rPr>
      </w:pPr>
      <w:r>
        <w:rPr>
          <w:rFonts w:ascii="Arial" w:cs="Arial" w:eastAsia="Arial" w:hAnsi="Arial"/>
          <w:sz w:val="17"/>
          <w:szCs w:val="17"/>
          <w:color w:val="auto"/>
        </w:rPr>
        <w:t>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shares of our common stock, which will be treated as described under “Non-U.S.</w:t>
      </w:r>
    </w:p>
    <w:p>
      <w:pPr>
        <w:spacing w:after="0" w:line="2"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Holders — Gain on Sale, Taxable Exchange or Other Taxable Disposition of Our Common Stock and Rights” below. In addition, if we determine that we are or are likely to be classified as a “United States real property holding corporation” (see “Non-U.S. Holders — Gain on Sale, Taxable Exchange or Other Taxable Disposition of Our Common Stock and Rights” below), we will withhold 15% of any distribution that exceeds our current and accumulated earnings and profits, including a distribution in redemption of shares of our common stock.</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 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Acquisition of Common Stock Pursuant to the Rights</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U.S. federal income tax treatment of a Non-U.S. Holder’s acquisition of common stock pursuant to the rights generally will correspond to the U.S. federal income tax treatment of a U.S. Holder, as described under “U.S. Holders — Acquisition of Common Stock Pursuant to the Rights” above.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Gain on Sale, Taxable Exchange or Other Taxable Disposition of Our Common Stock and Rights</w:t>
      </w:r>
    </w:p>
    <w:p>
      <w:pPr>
        <w:spacing w:after="0" w:line="15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shares of our common stock (including upon a dissolution and liquidation if we do not complete an initial business combination within the required time period) or rights (including an expiration or redemption of our rights), in each case without regard to whether such securities were held as part of a unit, unless:</w:t>
      </w:r>
    </w:p>
    <w:p>
      <w:pPr>
        <w:spacing w:after="0" w:line="68" w:lineRule="exact"/>
        <w:rPr>
          <w:sz w:val="20"/>
          <w:szCs w:val="20"/>
          <w:color w:val="auto"/>
        </w:rPr>
      </w:pPr>
    </w:p>
    <w:p>
      <w:pPr>
        <w:ind w:left="1800" w:right="819" w:hanging="180"/>
        <w:spacing w:after="0" w:line="286"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57" w:lineRule="exact"/>
        <w:rPr>
          <w:rFonts w:ascii="Arial" w:cs="Arial" w:eastAsia="Arial" w:hAnsi="Arial"/>
          <w:sz w:val="17"/>
          <w:szCs w:val="17"/>
          <w:color w:val="auto"/>
        </w:rPr>
      </w:pPr>
    </w:p>
    <w:p>
      <w:pPr>
        <w:ind w:left="1800" w:right="519" w:hanging="180"/>
        <w:spacing w:after="0" w:line="25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These rules may be modified for Non-U.S. Holders of rights. If we are or have been a “United States real property holding corporation” and you own rights, you are urged to consult your own tax advisor regarding the application of these rules.</w:t>
      </w:r>
    </w:p>
    <w:p>
      <w:pPr>
        <w:spacing w:after="0" w:line="124"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rate).If the second bullet point above applies to a Non-U.S. Holder, gain recognized by such holder on the sale, exchange or other disposition of our common stock or rights will generally be subject to tax at applicable</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U.S. federal income tax rates as if the Non-U.S. Holder were a U.S. resident. In addition, a buyer of our common stock or rights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 of Our Common Stock</w:t>
      </w:r>
    </w:p>
    <w:p>
      <w:pPr>
        <w:spacing w:after="0" w:line="14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characterization for U.S. federal income tax purposes of the redemption of a Non- U.S. Holder’s shares of our common stock pursuant to the redemption provisions described in the section of this prospectus entitled “Description of Securities — Common Stock” will generally correspond to the U.S. federal income tax characterization of such a redemption of a U.S. Holder’s shares of our common stock, as described under “U.S. Holders — Redemption of Our Common Stock” above, and the consequences of the redemption to the Non-U.S. Holder will be as described above under “Non -U.S. Holders — Taxation of Distributions” and “Non -U.S. Holders — Gain on Sale, Taxable Exchange or Other Taxable Disposition of Our Common Stock and Rights,” as applicable.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Dividend payments (including constructive dividends) with respect to our common stock and proceeds from the sale, exchange or redemption of shares of our common stock or rights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113"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Taxes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w:t>
      </w:r>
    </w:p>
    <w:p>
      <w:pPr>
        <w:spacing w:after="0" w:line="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0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RIGHTS,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Inc.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15,000,000</w:t>
            </w:r>
          </w:p>
        </w:tc>
      </w:tr>
      <w:tr>
        <w:trPr>
          <w:trHeight w:val="21"/>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-393700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31" w:lineRule="exact"/>
        <w:rPr>
          <w:sz w:val="20"/>
          <w:szCs w:val="20"/>
          <w:color w:val="auto"/>
        </w:rPr>
      </w:pPr>
    </w:p>
    <w:p>
      <w:pPr>
        <w:ind w:left="1800" w:hanging="180"/>
        <w:spacing w:after="0"/>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have granted the underwriters an option to buy up to an aggregate of 2,250,000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Discount</w:t>
      </w:r>
    </w:p>
    <w:p>
      <w:pPr>
        <w:spacing w:after="0" w:line="148"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Units sold by the underwriters to the public will initially be offered at the initial offering price set forth on the cover of this prospectus. Any units sold by the underwriters to securities dealers may be sold at a</w:t>
      </w:r>
    </w:p>
    <w:p>
      <w:pPr>
        <w:ind w:left="1260"/>
        <w:spacing w:after="0"/>
        <w:tabs>
          <w:tab w:leader="none" w:pos="3220" w:val="left"/>
        </w:tabs>
        <w:rPr>
          <w:sz w:val="20"/>
          <w:szCs w:val="20"/>
          <w:color w:val="auto"/>
        </w:rPr>
      </w:pPr>
      <w:r>
        <w:rPr>
          <w:rFonts w:ascii="Arial" w:cs="Arial" w:eastAsia="Arial" w:hAnsi="Arial"/>
          <w:sz w:val="18"/>
          <w:szCs w:val="18"/>
          <w:color w:val="auto"/>
        </w:rPr>
        <w:t>discount of up to $</w:t>
      </w:r>
      <w:r>
        <w:rPr>
          <w:sz w:val="20"/>
          <w:szCs w:val="20"/>
          <w:color w:val="auto"/>
        </w:rPr>
        <w:tab/>
      </w:r>
      <w:r>
        <w:rPr>
          <w:rFonts w:ascii="Arial" w:cs="Arial" w:eastAsia="Arial" w:hAnsi="Arial"/>
          <w:sz w:val="17"/>
          <w:szCs w:val="17"/>
          <w:color w:val="auto"/>
        </w:rPr>
        <w:t>per unit from the initial public offering price and the dealers may re-allow a</w:t>
      </w:r>
    </w:p>
    <w:p>
      <w:pPr>
        <w:spacing w:after="0" w:line="9"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option to purchase up to 2,250,000 additional units.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No Exercise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Full Exercise</w:t>
            </w:r>
          </w:p>
        </w:tc>
      </w:tr>
      <w:tr>
        <w:trPr>
          <w:trHeight w:val="25"/>
        </w:trPr>
        <w:tc>
          <w:tcPr>
            <w:tcW w:w="360" w:type="dxa"/>
            <w:vAlign w:val="bottom"/>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4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7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28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3,000,000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3,450,000</w:t>
            </w:r>
          </w:p>
        </w:tc>
      </w:tr>
      <w:tr>
        <w:trPr>
          <w:trHeight w:val="20"/>
        </w:trPr>
        <w:tc>
          <w:tcPr>
            <w:tcW w:w="1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r>
      <w:tr>
        <w:trPr>
          <w:trHeight w:val="452"/>
        </w:trPr>
        <w:tc>
          <w:tcPr>
            <w:tcW w:w="7840" w:type="dxa"/>
            <w:vAlign w:val="bottom"/>
            <w:gridSpan w:val="9"/>
          </w:tcPr>
          <w:p>
            <w:pPr>
              <w:ind w:left="360"/>
              <w:spacing w:after="0"/>
              <w:rPr>
                <w:sz w:val="20"/>
                <w:szCs w:val="20"/>
                <w:color w:val="auto"/>
              </w:rPr>
            </w:pPr>
            <w:r>
              <w:rPr>
                <w:rFonts w:ascii="Arial" w:cs="Arial" w:eastAsia="Arial" w:hAnsi="Arial"/>
                <w:sz w:val="18"/>
                <w:szCs w:val="18"/>
                <w:color w:val="auto"/>
                <w:w w:val="97"/>
              </w:rPr>
              <w:t>We estimate that the total expenses of the offering payable by us, not including the underwriting</w:t>
            </w: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discount, will be $</w:t>
            </w:r>
          </w:p>
        </w:tc>
        <w:tc>
          <w:tcPr>
            <w:tcW w:w="6160" w:type="dxa"/>
            <w:vAlign w:val="bottom"/>
            <w:gridSpan w:val="7"/>
          </w:tcPr>
          <w:p>
            <w:pPr>
              <w:jc w:val="right"/>
              <w:ind w:right="370"/>
              <w:spacing w:after="0"/>
              <w:rPr>
                <w:sz w:val="20"/>
                <w:szCs w:val="20"/>
                <w:color w:val="auto"/>
              </w:rPr>
            </w:pPr>
            <w:r>
              <w:rPr>
                <w:rFonts w:ascii="Arial" w:cs="Arial" w:eastAsia="Arial" w:hAnsi="Arial"/>
                <w:sz w:val="18"/>
                <w:szCs w:val="18"/>
                <w:color w:val="auto"/>
                <w:w w:val="98"/>
              </w:rPr>
              <w:t>. We have agreed to pay for the FINRA-related fees and expenses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-831215</wp:posOffset>
            </wp:positionV>
            <wp:extent cx="42176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ind w:left="1260" w:right="1119"/>
        <w:spacing w:after="0" w:line="265" w:lineRule="auto"/>
        <w:rPr>
          <w:sz w:val="20"/>
          <w:szCs w:val="20"/>
          <w:color w:val="auto"/>
        </w:rPr>
      </w:pPr>
      <w:r>
        <w:rPr>
          <w:rFonts w:ascii="Arial" w:cs="Arial" w:eastAsia="Arial" w:hAnsi="Arial"/>
          <w:sz w:val="17"/>
          <w:szCs w:val="17"/>
          <w:color w:val="auto"/>
        </w:rPr>
        <w:t>underwriters’ legal counsel, not to exceed $15,000 and the expenses of certain investigations and background checks not to exceed $3,500 per individual, or $28,000 in the aggregate, all of which is</w:t>
      </w:r>
    </w:p>
    <w:p>
      <w:pPr>
        <w:ind w:left="1260"/>
        <w:spacing w:after="0"/>
        <w:tabs>
          <w:tab w:leader="none" w:pos="3080" w:val="left"/>
        </w:tabs>
        <w:rPr>
          <w:sz w:val="20"/>
          <w:szCs w:val="20"/>
          <w:color w:val="auto"/>
        </w:rPr>
      </w:pPr>
      <w:r>
        <w:rPr>
          <w:rFonts w:ascii="Arial" w:cs="Arial" w:eastAsia="Arial" w:hAnsi="Arial"/>
          <w:sz w:val="18"/>
          <w:szCs w:val="18"/>
          <w:color w:val="auto"/>
        </w:rPr>
        <w:t>included in our $</w:t>
      </w:r>
      <w:r>
        <w:rPr>
          <w:sz w:val="20"/>
          <w:szCs w:val="20"/>
          <w:color w:val="auto"/>
        </w:rPr>
        <w:tab/>
      </w:r>
      <w:r>
        <w:rPr>
          <w:rFonts w:ascii="Arial" w:cs="Arial" w:eastAsia="Arial" w:hAnsi="Arial"/>
          <w:sz w:val="16"/>
          <w:szCs w:val="16"/>
          <w:color w:val="auto"/>
        </w:rPr>
        <w:t>estimate of expenses.</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shareholders to discuss the potential business combination and the target business’ attributes, introduce us to potential investors that are interested in purchasing our securities in connection with our initial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In addition, we will pay EarlyBirdCapital a cash fee in an amount equal to 1.0% of the total consideration payable to the target in the initial business combination if EarlyBirdCapital introduces us to the target business with whom we complete our initial business combination; provided that the foregoing fee will not be paid prior to the date that is 60 days from the effective date of the registration statement of which this prospectus forms a part, unless such payment would not be deemed underwriters’ compensation in connection with this offering pursuant to FINRA Rule 5110.</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Representative founder shares</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We have issued to EarlyBirdCapital and/or its designees the 150,000 representative founder shares for nominal consideration. The holders of the representative founder shares have agreed not to transfer, assign or sell any such shares without our prior consent until 30 days after the completion of our initial business combination. In addition, the holders of the representative founder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12 months from the closing of this offering (or up to 18 months from the closing of this offering if we extend the period of time to consummate a business combination).</w:t>
      </w:r>
    </w:p>
    <w:p>
      <w:pPr>
        <w:spacing w:after="0" w:line="11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representative founder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w:t>
      </w:r>
    </w:p>
    <w:p>
      <w:pPr>
        <w:spacing w:after="0" w:line="1"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granted the holders of these shares the registration rights as described under the section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Shares Eligible for Future Sale — Registration Rights</w:t>
      </w:r>
      <w:r>
        <w:rPr>
          <w:rFonts w:ascii="Arial" w:cs="Arial" w:eastAsia="Arial" w:hAnsi="Arial"/>
          <w:sz w:val="17"/>
          <w:szCs w:val="17"/>
          <w:color w:val="auto"/>
        </w:rPr>
        <w:t>.” In compliance with FINRA Rule 5110(g)(8),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registration rights granted to the underwriters are limited to demand and “piggy back” rights for periods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five and seven years, respectively, from the effective date of this prospectus with respect to the registration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 the Securities Act and demand rights may only be exercised on one occasion.</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York Stock Exchange Listing</w:t>
      </w:r>
    </w:p>
    <w:p>
      <w:pPr>
        <w:spacing w:after="0" w:line="162"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We intend to apply to have our units listed on the New York Stock Exchange under the symbol “ROC.U” and, once the common stock and rights begin separate trading, under the symbols “ROC” and “ROC.R,” respectively.</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4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62" w:lineRule="exact"/>
        <w:rPr>
          <w:sz w:val="20"/>
          <w:szCs w:val="20"/>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1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1260" w:right="619" w:firstLine="360"/>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0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0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NYSE, in the over-the-counter market or otherwise. Neither we nor the underwriters make any representation or prediction as to the effect that the transactions described above may have on the price of the units. Neither we, nor the underwriters, make any representation that the underwriters will engage in these stabilization transactions or that any transaction, once commenced, will not be discontinued without notice.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76" w:lineRule="exact"/>
        <w:rPr>
          <w:sz w:val="20"/>
          <w:szCs w:val="20"/>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history and prospects and the history and prospects for the industry in which we compete;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rights or shares of common stock or that the units will trade in the public market at or above the initial public offering price.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Affiliations</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They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Future Arrangements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60 days from the date of this prospectus, unless such payment would not be deemed underwriter’s compensation in connection with this offering.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2" w:lineRule="auto"/>
        <w:rPr>
          <w:sz w:val="20"/>
          <w:szCs w:val="20"/>
          <w:color w:val="auto"/>
        </w:rPr>
      </w:pPr>
      <w:r>
        <w:rPr>
          <w:rFonts w:ascii="Arial" w:cs="Arial" w:eastAsia="Arial" w:hAnsi="Arial"/>
          <w:sz w:val="17"/>
          <w:szCs w:val="17"/>
          <w:color w:val="auto"/>
        </w:rPr>
        <w:t>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63" w:lineRule="exact"/>
        <w:rPr>
          <w:sz w:val="20"/>
          <w:szCs w:val="20"/>
          <w:color w:val="auto"/>
        </w:rPr>
      </w:pPr>
    </w:p>
    <w:p>
      <w:pPr>
        <w:ind w:left="1800" w:right="103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purchaser acknowledges and consents to the provision of specified information concerning its purchase of our securities to the regulatory authority that by law is entitled to collect the information.</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Enforcement of Legal Rights</w:t>
      </w:r>
    </w:p>
    <w:p>
      <w:pPr>
        <w:spacing w:after="0" w:line="15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color w:val="auto"/>
        </w:rPr>
        <w:t>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(416) 593-8252.</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2"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81" w:lineRule="exact"/>
        <w:rPr>
          <w:sz w:val="20"/>
          <w:szCs w:val="20"/>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84"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116"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97"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44"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44" w:lineRule="exact"/>
        <w:rPr>
          <w:sz w:val="20"/>
          <w:szCs w:val="20"/>
          <w:color w:val="auto"/>
        </w:rPr>
      </w:pPr>
    </w:p>
    <w:p>
      <w:pPr>
        <w:jc w:val="both"/>
        <w:ind w:left="1260" w:right="479" w:firstLine="360"/>
        <w:spacing w:after="0"/>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81" w:lineRule="exact"/>
        <w:rPr>
          <w:sz w:val="20"/>
          <w:szCs w:val="20"/>
          <w:color w:val="auto"/>
        </w:rPr>
      </w:pPr>
    </w:p>
    <w:p>
      <w:pPr>
        <w:ind w:left="1800" w:hanging="180"/>
        <w:spacing w:after="0"/>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7" w:lineRule="exact"/>
        <w:rPr>
          <w:sz w:val="20"/>
          <w:szCs w:val="20"/>
          <w:color w:val="auto"/>
        </w:rPr>
      </w:pPr>
    </w:p>
    <w:p>
      <w:pPr>
        <w:ind w:left="1800" w:right="539" w:hanging="180"/>
        <w:spacing w:after="0" w:line="259"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65"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62" w:lineRule="exact"/>
        <w:rPr>
          <w:rFonts w:ascii="Arial" w:cs="Arial" w:eastAsia="Arial" w:hAnsi="Arial"/>
          <w:sz w:val="18"/>
          <w:szCs w:val="18"/>
          <w:color w:val="auto"/>
        </w:rPr>
      </w:pPr>
    </w:p>
    <w:p>
      <w:pPr>
        <w:ind w:left="1800" w:right="919" w:hanging="180"/>
        <w:spacing w:after="0" w:line="286" w:lineRule="auto"/>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the relevant time. For the purposes of this paragraph, “Japanese Person” shall mean any person resident in Japan, including any corporation or other entity organized under the laws of Japan.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44"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29" w:lineRule="exact"/>
        <w:rPr>
          <w:sz w:val="20"/>
          <w:szCs w:val="20"/>
          <w:color w:val="auto"/>
        </w:rPr>
      </w:pPr>
    </w:p>
    <w:p>
      <w:pPr>
        <w:ind w:left="1800" w:right="659" w:hanging="180"/>
        <w:spacing w:after="0" w:line="263"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800" w:right="439" w:hanging="180"/>
        <w:spacing w:after="0" w:line="274"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w:t>
      </w:r>
    </w:p>
    <w:p>
      <w:pPr>
        <w:ind w:left="1800"/>
        <w:spacing w:after="0"/>
        <w:rPr>
          <w:rFonts w:ascii="Arial" w:cs="Arial" w:eastAsia="Arial" w:hAnsi="Arial"/>
          <w:sz w:val="17"/>
          <w:szCs w:val="17"/>
          <w:color w:val="auto"/>
        </w:rPr>
      </w:pPr>
      <w:r>
        <w:rPr>
          <w:rFonts w:ascii="Arial" w:cs="Arial" w:eastAsia="Arial" w:hAnsi="Arial"/>
          <w:sz w:val="18"/>
          <w:szCs w:val="18"/>
          <w:color w:val="auto"/>
        </w:rPr>
        <w:t>and units of shares and</w:t>
      </w:r>
    </w:p>
    <w:p>
      <w:pPr>
        <w:spacing w:after="0" w:line="143"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6" w:lineRule="exact"/>
        <w:rPr>
          <w:sz w:val="20"/>
          <w:szCs w:val="20"/>
          <w:color w:val="auto"/>
        </w:rPr>
      </w:pPr>
    </w:p>
    <w:p>
      <w:pPr>
        <w:ind w:left="1800" w:right="459" w:hanging="180"/>
        <w:spacing w:after="0" w:line="254"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6"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Ellenoff Grossman &amp; Schole LLP, New York, New York, is acting as counsel in connection with the registration of our securities under the Securities Act, and as such, will pass upon the validity of the securities offered in this prospectus. Certain legal matters will be passed upon on behalf of the underwriters by Graubard Miller, New York, New York.</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financial statements of ROC Energy Acquisition Corp. as of October 13, 2021 and for the period from September 2, 2021 (inception) through October 13, 2021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8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You may also read and copy any document we file with the SEC at its public reference facility at 100 F Street, N.E., Washington, D.C. 20549.</w:t>
      </w:r>
    </w:p>
    <w:p>
      <w:pPr>
        <w:spacing w:after="0" w:line="120"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ROC Energy Acquisition Corp.</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788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ROC Energy Acquisition Corp.:</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7880" w:type="dxa"/>
            <w:vAlign w:val="bottom"/>
            <w:gridSpan w:val="10"/>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Report of Independent Registered Public Accounting Firm</w:t>
              </w:r>
            </w:hyperlink>
          </w:p>
        </w:tc>
        <w:tc>
          <w:tcPr>
            <w:tcW w:w="320" w:type="dxa"/>
            <w:vAlign w:val="bottom"/>
            <w:gridSpan w:val="3"/>
          </w:tcPr>
          <w:p>
            <w:pPr>
              <w:ind w:left="40"/>
              <w:spacing w:after="0"/>
              <w:rPr>
                <w:rFonts w:ascii="Arial" w:cs="Arial" w:eastAsia="Arial" w:hAnsi="Arial"/>
                <w:sz w:val="18"/>
                <w:szCs w:val="18"/>
                <w:color w:val="0000EE"/>
                <w:w w:val="96"/>
              </w:rPr>
            </w:pPr>
            <w:hyperlink w:anchor="page151">
              <w:r>
                <w:rPr>
                  <w:rFonts w:ascii="Arial" w:cs="Arial" w:eastAsia="Arial" w:hAnsi="Arial"/>
                  <w:sz w:val="18"/>
                  <w:szCs w:val="18"/>
                  <w:color w:val="0000EE"/>
                  <w:w w:val="96"/>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8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Balance Sheet as of October 13, 2021</w:t>
              </w:r>
            </w:hyperlink>
          </w:p>
        </w:tc>
        <w:tc>
          <w:tcPr>
            <w:tcW w:w="5040" w:type="dxa"/>
            <w:vAlign w:val="bottom"/>
            <w:tcBorders>
              <w:bottom w:val="single" w:sz="8" w:color="CCEEFF"/>
            </w:tcBorders>
            <w:gridSpan w:val="5"/>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80" w:type="dxa"/>
            <w:vAlign w:val="bottom"/>
            <w:gridSpan w:val="10"/>
          </w:tcPr>
          <w:p>
            <w:pPr>
              <w:spacing w:after="0"/>
              <w:rPr>
                <w:rFonts w:ascii="Arial" w:cs="Arial" w:eastAsia="Arial" w:hAnsi="Arial"/>
                <w:sz w:val="18"/>
                <w:szCs w:val="18"/>
                <w:color w:val="0000EE"/>
                <w:w w:val="97"/>
              </w:rPr>
            </w:pPr>
            <w:hyperlink w:anchor="page153">
              <w:r>
                <w:rPr>
                  <w:rFonts w:ascii="Arial" w:cs="Arial" w:eastAsia="Arial" w:hAnsi="Arial"/>
                  <w:sz w:val="18"/>
                  <w:szCs w:val="18"/>
                  <w:color w:val="0000EE"/>
                  <w:w w:val="97"/>
                </w:rPr>
                <w:t>Statement of Operations for the period from September 2, 2021 (inception) through October 13, 2021</w:t>
              </w:r>
            </w:hyperlink>
          </w:p>
        </w:tc>
        <w:tc>
          <w:tcPr>
            <w:tcW w:w="320" w:type="dxa"/>
            <w:vAlign w:val="bottom"/>
            <w:gridSpan w:val="3"/>
          </w:tcPr>
          <w:p>
            <w:pPr>
              <w:ind w:left="40"/>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F-4</w:t>
              </w:r>
            </w:hyperlink>
          </w:p>
        </w:tc>
      </w:tr>
      <w:tr>
        <w:trPr>
          <w:trHeight w:val="34"/>
        </w:trPr>
        <w:tc>
          <w:tcPr>
            <w:tcW w:w="1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880" w:type="dxa"/>
            <w:vAlign w:val="bottom"/>
            <w:gridSpan w:val="10"/>
            <w:shd w:val="clear" w:color="auto" w:fill="CCEEFF"/>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Statement of Changes in Stockholders’ Equity for the period from September 2, 2021 (inception)</w:t>
              </w:r>
            </w:hyperlink>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through October 13, 2021</w:t>
              </w:r>
            </w:hyperlink>
          </w:p>
        </w:tc>
        <w:tc>
          <w:tcPr>
            <w:tcW w:w="56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CCEEFF"/>
            </w:tcBorders>
            <w:gridSpan w:val="3"/>
            <w:shd w:val="clear" w:color="auto" w:fill="CCEEFF"/>
          </w:tcPr>
          <w:p>
            <w:pPr>
              <w:ind w:left="40"/>
              <w:spacing w:after="0" w:line="196" w:lineRule="exact"/>
              <w:rPr>
                <w:rFonts w:ascii="Arial" w:cs="Arial" w:eastAsia="Arial" w:hAnsi="Arial"/>
                <w:sz w:val="18"/>
                <w:szCs w:val="18"/>
                <w:color w:val="0000EE"/>
                <w:w w:val="96"/>
              </w:rPr>
            </w:pPr>
            <w:hyperlink w:anchor="page154">
              <w:r>
                <w:rPr>
                  <w:rFonts w:ascii="Arial" w:cs="Arial" w:eastAsia="Arial" w:hAnsi="Arial"/>
                  <w:sz w:val="18"/>
                  <w:szCs w:val="18"/>
                  <w:color w:val="0000EE"/>
                  <w:w w:val="96"/>
                </w:rPr>
                <w:t>F-5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80" w:type="dxa"/>
            <w:vAlign w:val="bottom"/>
            <w:gridSpan w:val="10"/>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Statement of Cash Flows for the period from September 2, 2021 (inception) through October 13,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6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2021</w:t>
              </w:r>
            </w:hyperlink>
          </w:p>
        </w:tc>
        <w:tc>
          <w:tcPr>
            <w:tcW w:w="1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3"/>
          </w:tcPr>
          <w:p>
            <w:pPr>
              <w:ind w:left="40"/>
              <w:spacing w:after="0" w:line="19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F-6</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22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3"/>
              </w:rPr>
            </w:pPr>
            <w:hyperlink w:anchor="page156">
              <w:r>
                <w:rPr>
                  <w:rFonts w:ascii="Arial" w:cs="Arial" w:eastAsia="Arial" w:hAnsi="Arial"/>
                  <w:sz w:val="18"/>
                  <w:szCs w:val="18"/>
                  <w:color w:val="0000EE"/>
                  <w:w w:val="93"/>
                </w:rPr>
                <w:t>Notes to Financial Statements</w:t>
              </w:r>
            </w:hyperlink>
          </w:p>
        </w:tc>
        <w:tc>
          <w:tcPr>
            <w:tcW w:w="5620" w:type="dxa"/>
            <w:vAlign w:val="bottom"/>
            <w:tcBorders>
              <w:bottom w:val="single" w:sz="8" w:color="CCEEFF"/>
            </w:tcBorders>
            <w:gridSpan w:val="6"/>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56">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-1576705</wp:posOffset>
            </wp:positionV>
            <wp:extent cx="50063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ROC Energy Acquisition Corp.</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We have audited the accompanying balance sheet of ROC Energy Acquisition Corp. (the “Company”) as of October 13, 2021, the related statements of operations, changes in stockholders’ equity and cash flows for the period from September 2, 2021 (inception) through October 13, 2021, and the related notes (collectively referred to as the “financial statements”). In our opinion, the financial statements present fairly, in all material respects, the financial position of the Company as of October 13, 2021, and the results of its operations and its cash flows for the period from September 2, 2021 (inception) through October 13, 2021,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2, the Company’s business plan is dependent upon the completion of a financing and at October 13, 2021, the Company had no cash and a working capital deficit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1260" w:right="51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WithumSmith+Brown, PC</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8, 2021</w:t>
      </w: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6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7"/>
              </w:rPr>
              <w:t>ROC ENERGY ACQUISITION CORP.</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940" w:type="dxa"/>
            <w:vAlign w:val="bottom"/>
          </w:tcPr>
          <w:p>
            <w:pPr>
              <w:spacing w:after="0"/>
              <w:rPr>
                <w:sz w:val="24"/>
                <w:szCs w:val="24"/>
                <w:color w:val="auto"/>
              </w:rPr>
            </w:pPr>
          </w:p>
        </w:tc>
        <w:tc>
          <w:tcPr>
            <w:tcW w:w="56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56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2"/>
              </w:rPr>
              <w:t>OCTOBER 13, 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19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57"/>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Current assets – other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63"/>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58,400</w:t>
            </w:r>
          </w:p>
        </w:tc>
        <w:tc>
          <w:tcPr>
            <w:tcW w:w="60" w:type="dxa"/>
            <w:vAlign w:val="bottom"/>
          </w:tcPr>
          <w:p>
            <w:pPr>
              <w:spacing w:after="0"/>
              <w:rPr>
                <w:sz w:val="22"/>
                <w:szCs w:val="22"/>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3"/>
              </w:rPr>
              <w:t>58,415</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4"/>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Promissory note – related party</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32,500</w:t>
            </w:r>
          </w:p>
        </w:tc>
      </w:tr>
      <w:tr>
        <w:trPr>
          <w:trHeight w:val="26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33,500</w:t>
            </w: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Common stock, $0.0001 par value; 100,000,000 shares authorized; 4,462,500 shares issued 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7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4"/>
                <w:szCs w:val="24"/>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25,469</w:t>
            </w:r>
          </w:p>
        </w:tc>
      </w:tr>
      <w:tr>
        <w:trPr>
          <w:trHeight w:val="277"/>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(1,000)</w:t>
            </w:r>
          </w:p>
        </w:tc>
        <w:tc>
          <w:tcPr>
            <w:tcW w:w="60" w:type="dxa"/>
            <w:vAlign w:val="bottom"/>
          </w:tcPr>
          <w:p>
            <w:pPr>
              <w:spacing w:after="0"/>
              <w:rPr>
                <w:sz w:val="24"/>
                <w:szCs w:val="24"/>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3"/>
              </w:rPr>
              <w:t>24,915</w:t>
            </w:r>
          </w:p>
        </w:tc>
      </w:tr>
      <w:tr>
        <w:trPr>
          <w:trHeight w:val="308"/>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58,415</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940" w:type="dxa"/>
            <w:vAlign w:val="bottom"/>
            <w:tcBorders>
              <w:bottom w:val="single" w:sz="8" w:color="auto"/>
            </w:tcBorders>
          </w:tcPr>
          <w:p>
            <w:pPr>
              <w:spacing w:after="0"/>
              <w:rPr>
                <w:sz w:val="13"/>
                <w:szCs w:val="13"/>
                <w:color w:val="auto"/>
              </w:rPr>
            </w:pPr>
          </w:p>
        </w:tc>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4834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-1859915</wp:posOffset>
            </wp:positionV>
            <wp:extent cx="4834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114" w:lineRule="exact"/>
        <w:rPr>
          <w:sz w:val="20"/>
          <w:szCs w:val="20"/>
          <w:color w:val="auto"/>
        </w:rPr>
      </w:pPr>
    </w:p>
    <w:p>
      <w:pPr>
        <w:ind w:left="1620" w:right="1019" w:hanging="360"/>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an aggregate of up to 562,500 shares of common stock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ROC ENERGY ACQUISITION CORP.</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right"/>
        <w:ind w:right="819"/>
        <w:spacing w:after="0"/>
        <w:rPr>
          <w:sz w:val="20"/>
          <w:szCs w:val="20"/>
          <w:color w:val="auto"/>
        </w:rPr>
      </w:pPr>
      <w:r>
        <w:rPr>
          <w:rFonts w:ascii="Arial" w:cs="Arial" w:eastAsia="Arial" w:hAnsi="Arial"/>
          <w:sz w:val="18"/>
          <w:szCs w:val="18"/>
          <w:b w:val="1"/>
          <w:bCs w:val="1"/>
          <w:color w:val="auto"/>
        </w:rPr>
        <w:t>FOR THE PERIOD FROM SEPTEMBER 2, 2021 (INCEPTION) THROUGH OCTOBER 13, 2021</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73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7380" w:type="dxa"/>
            <w:vAlign w:val="bottom"/>
            <w:tcBorders>
              <w:bottom w:val="single" w:sz="8" w:color="CCEEFF"/>
            </w:tcBorders>
            <w:gridSpan w:val="2"/>
            <w:shd w:val="clear" w:color="auto" w:fill="CCEEFF"/>
          </w:tcPr>
          <w:p>
            <w:pPr>
              <w:spacing w:after="0" w:line="251"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3,900,000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1"/>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940" w:type="dxa"/>
            <w:vAlign w:val="bottom"/>
            <w:tcBorders>
              <w:bottom w:val="single" w:sz="8" w:color="auto"/>
            </w:tcBorders>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34" w:lineRule="exact"/>
        <w:rPr>
          <w:sz w:val="20"/>
          <w:szCs w:val="20"/>
          <w:color w:val="auto"/>
        </w:rPr>
      </w:pPr>
    </w:p>
    <w:p>
      <w:pPr>
        <w:ind w:left="1620" w:right="979" w:hanging="360"/>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Excludes an aggregate of up to 562,500 shares of common stock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ROC ENERGY ACQUISITION CORP.</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7" w:lineRule="exact"/>
        <w:rPr>
          <w:sz w:val="20"/>
          <w:szCs w:val="20"/>
          <w:color w:val="auto"/>
        </w:rPr>
      </w:pPr>
    </w:p>
    <w:p>
      <w:pPr>
        <w:jc w:val="right"/>
        <w:ind w:right="819"/>
        <w:spacing w:after="0"/>
        <w:rPr>
          <w:sz w:val="20"/>
          <w:szCs w:val="20"/>
          <w:color w:val="auto"/>
        </w:rPr>
      </w:pPr>
      <w:r>
        <w:rPr>
          <w:rFonts w:ascii="Arial" w:cs="Arial" w:eastAsia="Arial" w:hAnsi="Arial"/>
          <w:sz w:val="18"/>
          <w:szCs w:val="18"/>
          <w:b w:val="1"/>
          <w:bCs w:val="1"/>
          <w:color w:val="auto"/>
        </w:rPr>
        <w:t>FOR THE PERIOD FROM SEPTEMBER 2, 2021 (INCEPTION) THROUGH OCTOBER 13, 2021</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gridSpan w:val="3"/>
            <w:vMerge w:val="restart"/>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79"/>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September 2, 2021 (inception)</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to Sponsor</w:t>
            </w:r>
            <w:r>
              <w:rPr>
                <w:rFonts w:ascii="Arial" w:cs="Arial" w:eastAsia="Arial" w:hAnsi="Arial"/>
                <w:sz w:val="23"/>
                <w:szCs w:val="23"/>
                <w:color w:val="auto"/>
                <w:vertAlign w:val="superscript"/>
              </w:rPr>
              <w:t>(1)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4,312,500</w:t>
            </w:r>
          </w:p>
        </w:tc>
        <w:tc>
          <w:tcPr>
            <w:tcW w:w="4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24,569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57"/>
        </w:trPr>
        <w:tc>
          <w:tcPr>
            <w:tcW w:w="38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representative shares</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63"/>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October 13, 2021</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4,462,500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25,469</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24,915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-290830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-290830</wp:posOffset>
            </wp:positionV>
            <wp:extent cx="3003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-290830</wp:posOffset>
            </wp:positionV>
            <wp:extent cx="2400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3463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-976630</wp:posOffset>
            </wp:positionV>
            <wp:extent cx="46716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1019" w:hanging="360"/>
        <w:spacing w:after="0" w:line="277"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an aggregate of up to 562,500 shares of common stock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ROC ENERGY ACQUISITION CORP.</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right"/>
        <w:ind w:right="819"/>
        <w:spacing w:after="0"/>
        <w:rPr>
          <w:sz w:val="20"/>
          <w:szCs w:val="20"/>
          <w:color w:val="auto"/>
        </w:rPr>
      </w:pPr>
      <w:r>
        <w:rPr>
          <w:rFonts w:ascii="Arial" w:cs="Arial" w:eastAsia="Arial" w:hAnsi="Arial"/>
          <w:sz w:val="18"/>
          <w:szCs w:val="18"/>
          <w:b w:val="1"/>
          <w:bCs w:val="1"/>
          <w:color w:val="auto"/>
        </w:rPr>
        <w:t>FOR THE PERIOD FROM SEPTEMBER 2, 2021 (INCEPTION) THROUGH OCTOBER 13, 2021</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5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paid directly by Sponsor in exchange for the issuance common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Issuance of Representative Shares included in deferred offering costs and other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paid through promissory note – related party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-951230</wp:posOffset>
            </wp:positionV>
            <wp:extent cx="4834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-1293495</wp:posOffset>
            </wp:positionV>
            <wp:extent cx="4834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ROC Energy Acquisition Corp. (the “Company”) is a newly incorporated blank check company incorporated as a Delaware corporation on September 2, 2021. The Company was incorporated for the purpose of effecting a merger, share exchange, asset acquisition, share purchase, reorganization or similar Business Combination with one or more businesses (the “Business Combination”). The Company has not selected any specific Business Combination target and the Company has not, nor has anyone on its behalf, engaged in any substantive discussions, directly or indirectly, with any Business Combination target with respect to an initial Business Combination with the Company.</w:t>
      </w:r>
    </w:p>
    <w:p>
      <w:pPr>
        <w:spacing w:after="0" w:line="110"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As of October 13, 2021, the Company had not commenced any operations. All activity for the period from September 2, 2021 (inception) through January October 13, 2021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Company’s sponsor is ROC Energy Holdings, LLC, a Delaware limited liability company (the “Sponsor”). The Company’s ability to sustain operations is contingent upon obtaining adequate financial resources through a Proposed Public Offering of 15,000,000 units at $10.00 per unit (the “units”) (or 17,250,000 units if the underwriters’ over-allotment option is exercised in full), which is discussed in Note 3, and the sale of 625,000 units (or 692,500 if the underwriter’s over-allotment option is exercised in full) (the “Private units” at a price of $10.00 per Private Units in a private placement to the Company’s Sponsor that will close simultaneously with the Proposed Public Offering. Each unit consists of one share of common stock, par value $0.0001, and one-tenth (1/10) of a share of common stock upon the consummation of an initial business combination.</w:t>
      </w:r>
    </w:p>
    <w:p>
      <w:pPr>
        <w:spacing w:after="0" w:line="115"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$10.10 per Unit sold in the Proposed Public Offering, including proceeds of the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$10.10 per Public Share, plus any pro rata interest then in the Trust Account, net of taxes payable). The Public Shares subject to redemption will be recorded at a redemption value and classified as temporary equity upon the completion of the Proposed Public Offering in accordance with the Accounting Standards Codification (“ASC”) Topic 480 “Distinguishing Liabilities from Equity.”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Private Shares (as defined in Note 4)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0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08"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6"/>
          <w:szCs w:val="16"/>
          <w:color w:val="auto"/>
        </w:rPr>
        <w:t>The Sponsor has agreed (a) to waive its redemption rights with respect to the Founder Shares, Private Shares and Public Shares held by it in connection with the completion of a Business Combination and</w:t>
      </w:r>
    </w:p>
    <w:p>
      <w:pPr>
        <w:spacing w:after="0" w:line="1" w:lineRule="exact"/>
        <w:rPr>
          <w:sz w:val="20"/>
          <w:szCs w:val="20"/>
          <w:color w:val="auto"/>
        </w:rPr>
      </w:pPr>
    </w:p>
    <w:p>
      <w:pPr>
        <w:ind w:left="1260" w:right="499"/>
        <w:spacing w:after="0" w:line="253" w:lineRule="auto"/>
        <w:tabs>
          <w:tab w:leader="none" w:pos="1529"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1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Company will have until 12 months from the closing of the Proposed Public Offering to complete a Business Combination (or up to 18 months from the closing of the Proposed Public Offering if the Company extends the period of time to consummate a Business Combination) (the “Combination Period”). If the Company has not completed a Business Combination within the Combination Period, the Company will</w:t>
      </w:r>
    </w:p>
    <w:p>
      <w:pPr>
        <w:spacing w:after="0" w:line="2" w:lineRule="exact"/>
        <w:rPr>
          <w:sz w:val="20"/>
          <w:szCs w:val="20"/>
          <w:color w:val="auto"/>
        </w:rPr>
      </w:pPr>
    </w:p>
    <w:p>
      <w:pPr>
        <w:ind w:left="1260" w:right="419"/>
        <w:spacing w:after="0" w:line="251" w:lineRule="auto"/>
        <w:tabs>
          <w:tab w:leader="none" w:pos="14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16"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If the Company anticipates that it may not be able to consummate the initial business combination within 12 months, the Company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Pursuant to the terms of our amended and restated certificate of incorporation and the trust agreement to be entered into between the Company and Continental Stock Transfer &amp; Trust Company, in order for the time available for the Company to consummate the initial business combination to be extended, the Sponsor or its affiliates or designees, upon five days advance notice prior to the applicable deadline, deposit $1,500,000, or $1,725,000 if the underwriters’ over-allotment option is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exercised in full ($ 0.10 per unit in either case), on or prior to the date of the applicable deadline, for each of the available three month extensions providing a total possible business combination period of 18 months at a total payment value of $3,000,000, or $3,450,000 if the underwriters’ over- allotment option is exercised in full ($ 0.10 per unit in either case). Any such payments would be made in the form of non-interest bearing loans. If the Company completes the initial business combination, the Company, at the option of the Sponsor, repay such loaned amounts out of the proceeds of the trust account released to the Company or convert a portion or all of the total loan amount into units at a price of $10.00 per unit, which units will be identical to the private units. If the Company does not complete a business combination, the Company will repay such loans only from funds held outside of the trust account. The stockholders will not be entitled to vote or redeem their shares in connection with any such extension.</w:t>
      </w:r>
    </w:p>
    <w:p>
      <w:pPr>
        <w:spacing w:after="0" w:line="99"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The Sponsor has agreed to waive its liquidation rights with respect to the Founder Shares and Private Shares if the Company fails to complete a Business Combination within the Combination Period. However, if the Sponsor acquires Public Shares in or after the Proposed Public Offering, such Public Shares will be entitled to liquidating distributions from the Trust Account if the Company fails to complete a Business Combination within the Combination Period. In the event of such distribution, it is possible that the per share value of the assets remaining available for distribution will be less than the Proposed Public Offering price per Unit ($10.10).</w:t>
      </w:r>
    </w:p>
    <w:p>
      <w:pPr>
        <w:spacing w:after="0" w:line="12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$10.10 per Public Share and (ii) such lesser amount per Public Share held in the Trust Account as of the date of the liquidation of the Trust Account due to reductions in the value of trust assets, in each case net of the amount of interest which may be withdrawn to pay taxes. This liability will not apply with respect to any claims by a third party who executed a waiver of any and all rights to seek access to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0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At October 13, 2021, the Company had no cash and a working capital deficit of $33,485.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through this Proposed Public Offering will be successful. The financial statements do not include any adjustments that might result from the outcome of this uncertainty.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2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Company complies with the requirements of Financial Accounting Standards Board (FASB) Accounting Standard Codification (ASC) 340-10-S99-1. Deferred offering costs consist of legal fees incurred through the balance sheet date that are directly related to the Proposed Public Offering and that will be charged against the carrying value of common stock upon the completion of the Proposed Public Offering. Should the Proposed Public Offering prove to be unsuccessful, these deferred costs, as well as additional expenses to be incurred, will be charged to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3"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as income tax expense. There were no unrecognized tax benefits and no amounts accrued for interest and penalties as of October 13,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06"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provision for income taxes was deemed to be de minimis for the period from September 2, 2021 (inception) through October 13, 2021. The Company’s deferred tax assets were deemed to be de minimis as of October 13, 2021.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8" w:lineRule="exact"/>
        <w:rPr>
          <w:sz w:val="20"/>
          <w:szCs w:val="20"/>
          <w:color w:val="auto"/>
        </w:rPr>
      </w:pPr>
    </w:p>
    <w:p>
      <w:pPr>
        <w:ind w:left="1260" w:right="619" w:firstLine="360"/>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October 13,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and cash equivalents as of October 13, 2021.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August 2020, the FASB issued Accounting Standards Update 2020-06, Debt — Debt with Conversion and Other Options (Subtopic 470-20) and Derivatives and Hedging — Contracts in Entity’s Own Equity (Subtopic 815-40) (“ASU 2020-06”) to simplify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for fiscal years beginning after December 15, 2021 and should be applied on a full or modified retrospective basis. Early adoption is permitted, but no earlier than fiscal years beginning after December 15, 2020, including interim periods within those fiscal years. The Company adopted ASU 2020-06 effective September 2, 2021. The adoption of ASU 2020-06 did not have a material impact on the Company’s financial statement.</w:t>
      </w:r>
    </w:p>
    <w:p>
      <w:pPr>
        <w:spacing w:after="0" w:line="105"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Pursuant to the Proposed Public Offering, the Company intends to offer for sale 15,000,000 Units (or 17,250,000 Units if the underwriters’ over-allotment option is exercised in full) at a price of $10.00 per Unit. Each Unit will consist of one share of common stock and one right (“Public Right”). Each right will entitle the holder thereof to receive one-tenth (1/10) of a share of common stock upon the consummation of a Business Combination (see Note 7).</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Sponsor has agreed to purchase an aggregate of 625,000 Placement Units (or 692,500 Placement Units if the underwriters’ over-allotment option is exercised in full) at a price of $10.00 per Placement Unit, for an aggregate purchase price of $6,250,000 (or $6,925,000 if the underwriters’ over-allotment option is exercised in full), in a private placement that will occur simultaneously with the closing of the Proposed Public Offering. Each Private Placement Unit will consist of a share of common stock (“Private Placement Share”) and one right (“Private Placement Right”). Each Private Placement Right will entitle the holder thereof to receive one-tenth (1/10) of a share of common stock upon the consummation of a Business Combination. A portion of the proceeds from the sale of the Private Placement Units will be added to the net proceeds from the Proposed Public Offering to be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On October 7, 2021, the Sponsor paid $25,000 to cover certain offering costs of the Company in consideration for 4,312,500 shares of common stock (the “Founder Shares”). The Founder Shares include an aggregate of up to 562,500 shares subject to forfeiture to the extent that the underwriters’ over-allotment option is not exercised in full or in part, so that the number of Founder Shares will equal 20% of the Company’s issued and outstanding shares after the Proposed Public Offering (assuming the Sponsor does not purchase any Public Shares in the Proposed Public Offering and excluding the Representative Shares and Private Shares).</w:t>
      </w:r>
    </w:p>
    <w:p>
      <w:pPr>
        <w:spacing w:after="0" w:line="110"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Sponsor has agreed, subject to certain limited exceptions, not to transfer, assign or sell any of the Founder Shares until (1) with respect to 50% of the Founder Shares, the earlier of one year after the completion of a Business Combination and the date on which the closing price of the common stock equals or exceeds $12.50 per share (as adjusted for share sub-divisions, share dividends, rights issuances, reorganizations, recapitalizations and the like) for any 20 trading days within any 30-trading day period commencing after a Business Combination and (2) with respect to the remaining 50% of the Founder Shares, one year after the completion of a Business Combination, or earlier, in either case, if, subsequent to a Business Combination, the Company completes a liquidation, merger, share exchange or other similar transaction which results in all of the Company’s stockholders having the right to exchange their common stock for cash, securities or other property.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Company will enter into an agreement, commencing on the effective date of the Proposed Public Offering through the earlier of the Company’s consummation of a Business Combination and its liquidation, to pay Fifth Partners, an affiliate of the Sponsor, a total of $13,000 per month for general and administrative services including office space, utilities and secretarial support.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September 2, 2021, the Sponsor issued an unsecured promissory note to the Company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“Promissory Note”), pursuant to which the Company may borrow up to an aggregate principal amount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$300,000. The Promissory Note is non-interest bearing and payable on the earlier of (i) September 30, 2022</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7" w:lineRule="auto"/>
        <w:tabs>
          <w:tab w:leader="none" w:pos="15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consummation of the Proposed Public Offering. As of October 13, 2021, the Company has $32,500 outstanding under the Promissory Note.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Except for the foregoing, the terms of such Working Capital Loans, if any, have not been determined and no written agreements exist with respect to such loans. As of October 13, 2021, there were no amounts outstanding under the Working Capital Loans.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Management is currently evaluating the impact of the COVID-19 pandemic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holders of the Founder Shares, Representative Shares, Placement Units (including securities contained therein) and units (including securities contained therein) that may be issued upon conversion of Working Capital Loans, and any shares of common stock (and underlying common stock) will be entitled to registration rights pursuant to a registration rights agreement to be signed prior to or on the effective date of the Proposed Public Offering. The holders of a majority of these securities are entitled to make up to two demands that the Company register such securities. Notwithstanding anything to the contrary, the underwriters may only make a demand on one occasion and only during the 5-year period beginning on the effective date of the registration statement of which the Proposed Public Offering forms a part. The holders of the majority of the founder shares can elect to exercise these registration rights at any time commencing three months prior to the date on which these shares of common stock are to be released from escrow. The holders of a majority of the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Company’s consummation of initial business combination’ provided, however, that the underwriters may participate in a “piggy-back” registration only during the 7-year period beginning on the effective date of the registration statement of which the Proposed Public Offering forms a part. The Company will bear the expenses incurred in connection with the filing of any such registration statements.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2,250,000 additional Units to cover over-allotments, if any, at the Proposed Public Offering price less the underwriting discounts and commissions.</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has issued to EarlyBirdCapital, the underwriter, 150,000 founder shares for nominal consideration, subsequently paid in October 2021. The holders of the representative founder shares have agreed not to transfer, assign or sell any such shares without the Company’s prior consent until 30 days after the completion of the initial business combination. In addition, the holders of the representative founder shares have agreed (i) to waive their redemption rights (or right to participate in any tender offer) with respect to such shares in connection with the completion of the initial business combination and (ii) to waive their rights to liquidating distributions from the trust account with respect to such shares if we fail to complete the initial business combination within 12 months from the closing of this offering (or up to 18 months from the closing of this offering if the Company extends the period of time to consummate a business combination).</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representative founder shares have been deemed compensation by FINRA and are therefore subject to a lock-up for a period of 180 days immediately following the date of the effectiveness of the registration statement of which the Proposed Public Offering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1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Company have granted the holders of these shares the registration rights. In compliance with FINRA Rule 5110(g)(8), the registration rights granted to the underwriters are limited to demand and “piggy back” rights for periods of five and seven years, respectively, from the effective date of the Proposed Public Offering with respect to the registration under the Securities Act and demand rights may only be exercised on one occasion.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in holding meetings with the shareholders to discuss the potential business combination and the target business’ attributes, introduce the Company to potential investors that are interested in purchasing securities in connection with the initial business combination, assist in obtaining stockholder approval for the business combination and assist with press releases and public filings in connection with the business combination. The Company will pay EarlyBirdCapital a cash fee for such services upon the consummation of the initial business combination in an amount equal to 3.5% of the gross proceeds of this offering (exclusive of any applicable finders’ fees which might become payable). In addition, the Company will pay EarlyBirdCapital a cash fee in an amount equal to 1.0% of the total consideration payable to the target in the initial business combination if EarlyBirdCapital introduces the target business with whom we complete the initial business combination; provided that the foregoing fee will not be paid prior to the date that is 60 days from the effective date of the registration statement of which this prospectus forms a part, unless such payment would not be deemed underwriters’ compensation in connection with this offering pursuant to FINRA Rule 5110.</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62"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October 13, 2021, there were no shares of preferred stock issued or outstanding.</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The Company is authorized to issue 100,000,000 shares of common stock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Holders of common stock are entitled to one vote for each share. At October 13, 2021, there were 4,662,500 shares of common stock issued and outstanding, of which an aggregate of up to 562,500 shares are subject to forfeiture to the extent that the underwriters’ over-allotment option is not exercised in full or in part, so that the number of shares of common stock will equal 20% of</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3" w:lineRule="auto"/>
        <w:rPr>
          <w:sz w:val="20"/>
          <w:szCs w:val="20"/>
          <w:color w:val="auto"/>
        </w:rPr>
      </w:pPr>
      <w:r>
        <w:rPr>
          <w:rFonts w:ascii="Arial" w:cs="Arial" w:eastAsia="Arial" w:hAnsi="Arial"/>
          <w:sz w:val="18"/>
          <w:szCs w:val="18"/>
          <w:color w:val="auto"/>
        </w:rPr>
        <w:t>the Company’s issued and outstanding common stock after the Proposed Public Offering (assuming the Sponsor does not purchase any Public Shares in the Proposed Public Offering and excluding the Representative Shares and Private Shares).</w:t>
      </w:r>
    </w:p>
    <w:p>
      <w:pPr>
        <w:spacing w:after="0" w:line="10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Holders of record of the Company’s common stock are entitled to one vote for each share held on all matters to be voted on by stockholders. In connection with any vote held to approve the Company’s initial business combination, the insiders, officers and directors, have agreed to vote their respective shares of common stock owned by them immediately prior to this offering, including both the founder shares and the Private Shares, and any shares acquired in this offering or following this offering in the open market, in favor of the proposed business combination.</w:t>
      </w:r>
    </w:p>
    <w:p>
      <w:pPr>
        <w:spacing w:after="0" w:line="125"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will consummate the initial business combination only if public stockholders do not exercise redemption rights in an amount that would cause the net tangible assets to be less than $5,000,001 and a majority of the outstanding shares of common stock voted are voted in favor of the business combination.</w:t>
      </w:r>
    </w:p>
    <w:p>
      <w:pPr>
        <w:spacing w:after="0" w:line="11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Pursuant to the certificate of incorporation, if the Company does not consummate the initial business combination within 12 months from the closing of this offering (or up to 18 months from the closing of this offering if the Company extends the period of time to consummate a business combination), it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 The Company’s insiders have agreed to waive their rights to share in any distribution with respect to their founder shares and Private Shares</w:t>
      </w:r>
    </w:p>
    <w:p>
      <w:pPr>
        <w:spacing w:after="0" w:line="11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stockholders have no redemption, pre-emptive or other subscription rights and there are no sinking fund or redemption provisions applicable to the shares of common stock, except that public stockholders have the right to sell their shares to the Company in any tender offer or have their shares of common stock redeemed to cash equal to their pro rata share of the trust account if they vote on the proposed business combination and the business combination is completed. If the Company hold a stockholder vote to amend any provisions of the certificate of incorporation relating to stockholder’s rights or pre-business combination activity (including the substance or timing within which we have to complete a business combination), the Company will provide the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the franchise and income taxes, divided by the number of then outstanding public shares, in connection with any such vote. In either of such events, redeeming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b w:val="1"/>
          <w:bCs w:val="1"/>
          <w:i w:val="1"/>
          <w:iCs w:val="1"/>
          <w:color w:val="auto"/>
        </w:rPr>
        <w:t xml:space="preserve">Rights — </w:t>
      </w:r>
      <w:r>
        <w:rPr>
          <w:rFonts w:ascii="Arial" w:cs="Arial" w:eastAsia="Arial" w:hAnsi="Arial"/>
          <w:sz w:val="18"/>
          <w:szCs w:val="18"/>
          <w:color w:val="auto"/>
        </w:rPr>
        <w:t>Each holder of a right will receive one-tenth (1/10) of one share of common stock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a Business Combination, even if the holder of such right redeemed all shares held by it in connection with a Business Combination. No fractional shares will be issued upon exchange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Proposed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the 1/10 of a share underlying each right (without paying any additional consideration) upon consummation of the</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business combination. The shares issuable upon exchange of the rights will be freely tradable (except to the extent held by affiliates of the Company).</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the rights may expire worthless.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November 8, 2021, the date that the financial statements were available to be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rPr>
          <w:sz w:val="20"/>
          <w:szCs w:val="20"/>
          <w:color w:val="auto"/>
        </w:rPr>
      </w:pPr>
      <w:r>
        <w:rPr>
          <w:rFonts w:ascii="Arial" w:cs="Arial" w:eastAsia="Arial" w:hAnsi="Arial"/>
          <w:sz w:val="32"/>
          <w:szCs w:val="32"/>
          <w:b w:val="1"/>
          <w:bCs w:val="1"/>
          <w:color w:val="auto"/>
        </w:rPr>
        <w:t>ROC Energy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975360</wp:posOffset>
            </wp:positionV>
            <wp:extent cx="12344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165100</wp:posOffset>
            </wp:positionV>
            <wp:extent cx="123444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00"/>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95" w:lineRule="exact"/>
        <w:rPr>
          <w:sz w:val="20"/>
          <w:szCs w:val="20"/>
          <w:color w:val="auto"/>
        </w:rPr>
      </w:pPr>
    </w:p>
    <w:p>
      <w:pPr>
        <w:ind w:left="4040"/>
        <w:spacing w:after="0"/>
        <w:rPr>
          <w:sz w:val="20"/>
          <w:szCs w:val="20"/>
          <w:color w:val="auto"/>
        </w:rPr>
      </w:pPr>
      <w:r>
        <w:rPr>
          <w:rFonts w:ascii="Arial" w:cs="Arial" w:eastAsia="Arial" w:hAnsi="Arial"/>
          <w:sz w:val="29"/>
          <w:szCs w:val="29"/>
          <w:b w:val="1"/>
          <w:bCs w:val="1"/>
          <w:color w:val="auto"/>
        </w:rPr>
        <w:t>EarlyBirdCapital,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Until , 2021 (25 days after the date of this prospectus), all dealers that buy, sell or trade our shares of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574040</wp:posOffset>
            </wp:positionV>
            <wp:extent cx="52120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617220</wp:posOffset>
            </wp:positionV>
            <wp:extent cx="521208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869950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w:t>
            </w:r>
          </w:p>
        </w:tc>
      </w:tr>
      <w:tr>
        <w:trPr>
          <w:trHeight w:val="257"/>
        </w:trPr>
        <w:tc>
          <w:tcPr>
            <w:tcW w:w="75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57"/>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49,665</w:t>
            </w:r>
          </w:p>
        </w:tc>
      </w:tr>
      <w:tr>
        <w:trPr>
          <w:trHeight w:val="257"/>
        </w:trPr>
        <w:tc>
          <w:tcPr>
            <w:tcW w:w="7520" w:type="dxa"/>
            <w:vAlign w:val="bottom"/>
            <w:gridSpan w:val="2"/>
          </w:tcPr>
          <w:p>
            <w:pPr>
              <w:spacing w:after="0"/>
              <w:rPr>
                <w:sz w:val="20"/>
                <w:szCs w:val="20"/>
                <w:color w:val="auto"/>
              </w:rPr>
            </w:pPr>
            <w:r>
              <w:rPr>
                <w:rFonts w:ascii="Arial" w:cs="Arial" w:eastAsia="Arial" w:hAnsi="Arial"/>
                <w:sz w:val="18"/>
                <w:szCs w:val="18"/>
                <w:color w:val="auto"/>
              </w:rPr>
              <w:t>NYSE listing and filing fees</w:t>
            </w:r>
          </w:p>
        </w:tc>
        <w:tc>
          <w:tcPr>
            <w:tcW w:w="68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5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57"/>
        </w:trPr>
        <w:tc>
          <w:tcPr>
            <w:tcW w:w="75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680" w:type="dxa"/>
            <w:vAlign w:val="bottom"/>
          </w:tcPr>
          <w:p>
            <w:pPr>
              <w:jc w:val="right"/>
              <w:spacing w:after="0"/>
              <w:rPr>
                <w:sz w:val="20"/>
                <w:szCs w:val="20"/>
                <w:color w:val="auto"/>
              </w:rPr>
            </w:pPr>
            <w:r>
              <w:rPr>
                <w:rFonts w:ascii="Arial" w:cs="Arial" w:eastAsia="Arial" w:hAnsi="Arial"/>
                <w:sz w:val="18"/>
                <w:szCs w:val="18"/>
                <w:color w:val="auto"/>
              </w:rPr>
              <w:t>293,335</w:t>
            </w:r>
          </w:p>
        </w:tc>
      </w:tr>
      <w:tr>
        <w:trPr>
          <w:trHeight w:val="295"/>
        </w:trPr>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580" w:type="dxa"/>
            <w:vAlign w:val="bottom"/>
          </w:tcPr>
          <w:p>
            <w:pPr>
              <w:spacing w:after="0"/>
              <w:rPr>
                <w:sz w:val="5"/>
                <w:szCs w:val="5"/>
                <w:color w:val="auto"/>
              </w:rPr>
            </w:pPr>
          </w:p>
        </w:tc>
        <w:tc>
          <w:tcPr>
            <w:tcW w:w="680" w:type="dxa"/>
            <w:vAlign w:val="bottom"/>
          </w:tcPr>
          <w:p>
            <w:pPr>
              <w:spacing w:after="0"/>
              <w:rPr>
                <w:sz w:val="5"/>
                <w:szCs w:val="5"/>
                <w:color w:val="auto"/>
              </w:rPr>
            </w:pPr>
          </w:p>
        </w:tc>
      </w:tr>
    </w:tbl>
    <w:p>
      <w:pPr>
        <w:spacing w:after="0" w:line="121" w:lineRule="exact"/>
        <w:rPr>
          <w:sz w:val="20"/>
          <w:szCs w:val="20"/>
          <w:color w:val="auto"/>
        </w:rPr>
      </w:pPr>
    </w:p>
    <w:p>
      <w:pPr>
        <w:ind w:left="1620" w:right="679" w:hanging="360"/>
        <w:spacing w:after="0" w:line="263"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14"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58" w:lineRule="exact"/>
        <w:rPr>
          <w:sz w:val="20"/>
          <w:szCs w:val="20"/>
          <w:color w:val="auto"/>
        </w:rPr>
      </w:pPr>
    </w:p>
    <w:p>
      <w:pPr>
        <w:ind w:left="1980" w:right="479" w:hanging="360"/>
        <w:spacing w:after="0" w:line="268"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8" w:lineRule="exact"/>
        <w:rPr>
          <w:rFonts w:ascii="Arial" w:cs="Arial" w:eastAsia="Arial" w:hAnsi="Arial"/>
          <w:sz w:val="17"/>
          <w:szCs w:val="17"/>
          <w:color w:val="auto"/>
        </w:rPr>
      </w:pPr>
    </w:p>
    <w:p>
      <w:pPr>
        <w:ind w:left="1980" w:right="579" w:hanging="360"/>
        <w:spacing w:after="0" w:line="254"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38" w:lineRule="auto"/>
        <w:rPr>
          <w:sz w:val="20"/>
          <w:szCs w:val="20"/>
          <w:color w:val="auto"/>
        </w:rPr>
      </w:pPr>
      <w:r>
        <w:rPr>
          <w:rFonts w:ascii="Arial" w:cs="Arial" w:eastAsia="Arial" w:hAnsi="Arial"/>
          <w:sz w:val="18"/>
          <w:szCs w:val="18"/>
          <w:color w:val="auto"/>
        </w:rPr>
        <w:t>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3" w:lineRule="exact"/>
        <w:rPr>
          <w:sz w:val="20"/>
          <w:szCs w:val="20"/>
          <w:color w:val="auto"/>
        </w:rPr>
      </w:pPr>
    </w:p>
    <w:p>
      <w:pPr>
        <w:ind w:left="2340" w:right="339" w:hanging="720"/>
        <w:spacing w:after="0" w:line="282" w:lineRule="auto"/>
        <w:tabs>
          <w:tab w:leader="none" w:pos="19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(1) To the extent that a present or former director or officer of a corporation has been successful on the merits or otherwise in defense of any action, suit or proceeding referred to in subsections</w:t>
      </w:r>
    </w:p>
    <w:p>
      <w:pPr>
        <w:ind w:left="2340" w:right="139"/>
        <w:spacing w:after="0" w:line="268" w:lineRule="auto"/>
        <w:rPr>
          <w:rFonts w:ascii="Arial" w:cs="Arial" w:eastAsia="Arial" w:hAnsi="Arial"/>
          <w:sz w:val="17"/>
          <w:szCs w:val="17"/>
          <w:color w:val="auto"/>
        </w:rPr>
      </w:pPr>
      <w:r>
        <w:rPr>
          <w:rFonts w:ascii="Arial" w:cs="Arial" w:eastAsia="Arial" w:hAnsi="Arial"/>
          <w:sz w:val="17"/>
          <w:szCs w:val="17"/>
          <w:color w:val="auto"/>
        </w:rPr>
        <w:t>(a)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this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p>
      <w:pPr>
        <w:spacing w:after="0" w:line="129" w:lineRule="exact"/>
        <w:rPr>
          <w:rFonts w:ascii="Arial" w:cs="Arial" w:eastAsia="Arial" w:hAnsi="Arial"/>
          <w:sz w:val="17"/>
          <w:szCs w:val="17"/>
          <w:color w:val="auto"/>
        </w:rPr>
      </w:pPr>
    </w:p>
    <w:p>
      <w:pPr>
        <w:ind w:left="2340" w:right="459" w:hanging="360"/>
        <w:spacing w:after="0" w:line="257" w:lineRule="auto"/>
        <w:tabs>
          <w:tab w:leader="none" w:pos="2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p>
      <w:pPr>
        <w:spacing w:after="0" w:line="106" w:lineRule="exact"/>
        <w:rPr>
          <w:rFonts w:ascii="Arial" w:cs="Arial" w:eastAsia="Arial" w:hAnsi="Arial"/>
          <w:sz w:val="18"/>
          <w:szCs w:val="18"/>
          <w:color w:val="auto"/>
        </w:rPr>
      </w:pPr>
    </w:p>
    <w:p>
      <w:pPr>
        <w:ind w:left="1980" w:right="499" w:hanging="360"/>
        <w:spacing w:after="0" w:line="273"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w:t>
      </w:r>
    </w:p>
    <w:p>
      <w:pPr>
        <w:spacing w:after="0" w:line="110" w:lineRule="exact"/>
        <w:rPr>
          <w:rFonts w:ascii="Arial" w:cs="Arial" w:eastAsia="Arial" w:hAnsi="Arial"/>
          <w:sz w:val="17"/>
          <w:szCs w:val="17"/>
          <w:color w:val="auto"/>
        </w:rPr>
      </w:pPr>
    </w:p>
    <w:p>
      <w:pPr>
        <w:ind w:left="2340" w:right="439" w:hanging="360"/>
        <w:spacing w:after="0" w:line="277" w:lineRule="auto"/>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such action, suit or proceeding, even though less than a quorum; or</w:t>
      </w:r>
    </w:p>
    <w:p>
      <w:pPr>
        <w:spacing w:after="0" w:line="89" w:lineRule="exact"/>
        <w:rPr>
          <w:rFonts w:ascii="Arial" w:cs="Arial" w:eastAsia="Arial" w:hAnsi="Arial"/>
          <w:sz w:val="18"/>
          <w:szCs w:val="18"/>
          <w:color w:val="auto"/>
        </w:rPr>
      </w:pPr>
    </w:p>
    <w:p>
      <w:pPr>
        <w:ind w:left="2340" w:right="559" w:hanging="360"/>
        <w:spacing w:after="0" w:line="277" w:lineRule="auto"/>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a committee of such directors designated by majority vote of such directors, even though less than a quorum; or</w:t>
      </w:r>
    </w:p>
    <w:p>
      <w:pPr>
        <w:spacing w:after="0" w:line="102" w:lineRule="exact"/>
        <w:rPr>
          <w:rFonts w:ascii="Arial" w:cs="Arial" w:eastAsia="Arial" w:hAnsi="Arial"/>
          <w:sz w:val="18"/>
          <w:szCs w:val="18"/>
          <w:color w:val="auto"/>
        </w:rPr>
      </w:pPr>
    </w:p>
    <w:p>
      <w:pPr>
        <w:ind w:left="2340" w:right="539" w:hanging="360"/>
        <w:spacing w:after="0" w:line="277" w:lineRule="auto"/>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there are no such directors, or if such directors so direct, by independent legal counsel in a written opinion; or</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157" w:lineRule="exact"/>
        <w:rPr>
          <w:rFonts w:ascii="Arial" w:cs="Arial" w:eastAsia="Arial" w:hAnsi="Arial"/>
          <w:sz w:val="18"/>
          <w:szCs w:val="18"/>
          <w:color w:val="auto"/>
        </w:rPr>
      </w:pPr>
    </w:p>
    <w:p>
      <w:pPr>
        <w:ind w:left="1980" w:right="419" w:hanging="360"/>
        <w:spacing w:after="0" w:line="253"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13" w:lineRule="exact"/>
        <w:rPr>
          <w:rFonts w:ascii="Arial" w:cs="Arial" w:eastAsia="Arial" w:hAnsi="Arial"/>
          <w:sz w:val="18"/>
          <w:szCs w:val="18"/>
          <w:color w:val="auto"/>
        </w:rPr>
      </w:pPr>
    </w:p>
    <w:p>
      <w:pPr>
        <w:ind w:left="1980" w:right="479" w:hanging="360"/>
        <w:spacing w:after="0" w:line="259"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spacing w:after="0" w:line="238" w:lineRule="auto"/>
        <w:rPr>
          <w:sz w:val="20"/>
          <w:szCs w:val="20"/>
          <w:color w:val="auto"/>
        </w:rPr>
      </w:pPr>
      <w:r>
        <w:rPr>
          <w:rFonts w:ascii="Arial" w:cs="Arial" w:eastAsia="Arial" w:hAnsi="Arial"/>
          <w:sz w:val="18"/>
          <w:szCs w:val="18"/>
          <w:color w:val="auto"/>
        </w:rPr>
        <w:t>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0" w:lineRule="exact"/>
        <w:rPr>
          <w:sz w:val="20"/>
          <w:szCs w:val="20"/>
          <w:color w:val="auto"/>
        </w:rPr>
      </w:pPr>
    </w:p>
    <w:p>
      <w:pPr>
        <w:ind w:left="1980" w:right="439" w:hanging="360"/>
        <w:spacing w:after="0" w:line="254"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3" w:lineRule="exact"/>
        <w:rPr>
          <w:rFonts w:ascii="Arial" w:cs="Arial" w:eastAsia="Arial" w:hAnsi="Arial"/>
          <w:sz w:val="18"/>
          <w:szCs w:val="18"/>
          <w:color w:val="auto"/>
        </w:rPr>
      </w:pPr>
    </w:p>
    <w:p>
      <w:pPr>
        <w:ind w:left="1980" w:right="439" w:hanging="360"/>
        <w:spacing w:after="0" w:line="270" w:lineRule="auto"/>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13" w:lineRule="exact"/>
        <w:rPr>
          <w:rFonts w:ascii="Arial" w:cs="Arial" w:eastAsia="Arial" w:hAnsi="Arial"/>
          <w:sz w:val="17"/>
          <w:szCs w:val="17"/>
          <w:color w:val="auto"/>
        </w:rPr>
      </w:pPr>
    </w:p>
    <w:p>
      <w:pPr>
        <w:ind w:left="1980" w:right="419" w:hanging="360"/>
        <w:spacing w:after="0" w:line="25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8" w:lineRule="exact"/>
        <w:rPr>
          <w:rFonts w:ascii="Arial" w:cs="Arial" w:eastAsia="Arial" w:hAnsi="Arial"/>
          <w:sz w:val="18"/>
          <w:szCs w:val="18"/>
          <w:color w:val="auto"/>
        </w:rPr>
      </w:pPr>
    </w:p>
    <w:p>
      <w:pPr>
        <w:ind w:left="1980" w:right="419" w:hanging="360"/>
        <w:spacing w:after="0" w:line="259"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05" w:lineRule="exact"/>
        <w:rPr>
          <w:rFonts w:ascii="Arial" w:cs="Arial" w:eastAsia="Arial" w:hAnsi="Arial"/>
          <w:sz w:val="18"/>
          <w:szCs w:val="18"/>
          <w:color w:val="auto"/>
        </w:rPr>
      </w:pPr>
    </w:p>
    <w:p>
      <w:pPr>
        <w:ind w:left="1980" w:right="659" w:hanging="360"/>
        <w:spacing w:after="0" w:line="257"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whether such indemnification by it is against public policy as expressed in the Securities Act and will be governed by the final adjudication of such issue.</w:t>
      </w:r>
    </w:p>
    <w:p>
      <w:pPr>
        <w:spacing w:after="0" w:line="9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26"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20"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1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an exhibit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0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February 2021, our sponsor, ROC Energy Holdings, LLC, purchased an aggregate of 4,312,500 founder shares for an aggregate purchase price of $25,000, or approximately $0.006 per share. The per share purchase price of the founder shares was determined by dividing the amount of cash contributed to the company by the aggregate number of founder shares issued. The number of founder shares issued was determined based on the expectation that the founder shares would represent 20% of the outstanding shares after this offering (not including the private units and underlying securities and the representative founder shares and assuming they do not purchase units in this offering). As such, our insiders will collectively own 20% of our issued and outstanding shares after this offering. Such securities were issued in connection with our organization pursuant to the exemption from registration contained in Section 4(a)(2) of the Securities Act as they were sold to accredited investors.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sponsor has committed to purchase from us 625,000 private units (or 692,500 private units if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option is exercised in full), at $10.00 per private unit for a total purchase price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$6,2350,000 (or $6,925,000 if the over-allotment option is exercised in full). The private units will be sold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a private placement that will close simultaneously with the closing of this offering. This issuance will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made pursuant to the exemption from registration contained in Section 4(a)(2) of the Securities Act. No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or commissions were paid with respect to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following exhibits are filed as part of this Registration Statement:</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6"/>
        </w:trPr>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40" w:type="dxa"/>
            <w:vAlign w:val="bottom"/>
            <w:gridSpan w:val="3"/>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r>
      <w:tr>
        <w:trPr>
          <w:trHeight w:val="256"/>
        </w:trPr>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Business Combination Marketing Agreement.</w:t>
            </w:r>
          </w:p>
        </w:tc>
      </w:tr>
      <w:tr>
        <w:trPr>
          <w:trHeight w:val="216"/>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14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177">
              <w:r>
                <w:rPr>
                  <w:rFonts w:ascii="Arial" w:cs="Arial" w:eastAsia="Arial" w:hAnsi="Arial"/>
                  <w:sz w:val="18"/>
                  <w:szCs w:val="18"/>
                  <w:color w:val="0000EE"/>
                  <w:w w:val="98"/>
                </w:rPr>
                <w:t>Certificate of Incorporation.</w:t>
              </w:r>
            </w:hyperlink>
          </w:p>
        </w:tc>
        <w:tc>
          <w:tcPr>
            <w:tcW w:w="5320" w:type="dxa"/>
            <w:vAlign w:val="bottom"/>
            <w:gridSpan w:val="5"/>
          </w:tcPr>
          <w:p>
            <w:pPr>
              <w:spacing w:after="0"/>
              <w:rPr>
                <w:sz w:val="18"/>
                <w:szCs w:val="18"/>
                <w:color w:val="auto"/>
              </w:rPr>
            </w:pPr>
          </w:p>
        </w:tc>
      </w:tr>
      <w:tr>
        <w:trPr>
          <w:trHeight w:val="277"/>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216"/>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6"/>
              </w:rPr>
            </w:pPr>
            <w:hyperlink w:anchor="page182">
              <w:r>
                <w:rPr>
                  <w:rFonts w:ascii="Arial" w:cs="Arial" w:eastAsia="Arial" w:hAnsi="Arial"/>
                  <w:sz w:val="18"/>
                  <w:szCs w:val="18"/>
                  <w:color w:val="0000EE"/>
                  <w:w w:val="96"/>
                </w:rPr>
                <w:t>Bylaws.</w:t>
              </w:r>
            </w:hyperlink>
          </w:p>
        </w:tc>
        <w:tc>
          <w:tcPr>
            <w:tcW w:w="6840" w:type="dxa"/>
            <w:vAlign w:val="bottom"/>
            <w:gridSpan w:val="6"/>
          </w:tcPr>
          <w:p>
            <w:pPr>
              <w:spacing w:after="0"/>
              <w:rPr>
                <w:sz w:val="18"/>
                <w:szCs w:val="18"/>
                <w:color w:val="auto"/>
              </w:rPr>
            </w:pP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Specimen Unit Certificate.</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Specimen Common Stock Certificate.</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Specimen Rights Certificate</w:t>
            </w:r>
          </w:p>
        </w:tc>
      </w:tr>
      <w:tr>
        <w:trPr>
          <w:trHeight w:val="242"/>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Rights Agreement between Continental Stock Transfer &amp; Trust Company and the</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Registrant.</w:t>
            </w:r>
          </w:p>
        </w:tc>
      </w:tr>
      <w:tr>
        <w:trPr>
          <w:trHeight w:val="283"/>
        </w:trPr>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Opinion of Ellenoff Grossman &amp; Schole LLP, counsel to the Registrant.</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w w:val="99"/>
              </w:rPr>
              <w:t>Form of Insider Letter Agreement among the Registrant, its officers and directors and sponsor</w:t>
            </w:r>
          </w:p>
        </w:tc>
      </w:tr>
      <w:tr>
        <w:trPr>
          <w:trHeight w:val="242"/>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w w:val="98"/>
              </w:rPr>
              <w:t>Form of Investment Management Trust Agreement between Continental Stock Transfer &amp; Trust</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Company and the Registrant.</w:t>
            </w:r>
          </w:p>
        </w:tc>
      </w:tr>
      <w:tr>
        <w:trPr>
          <w:trHeight w:val="256"/>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Stock Escrow Agreement among the Registrant, Continental Stock Transfer &amp; Trust</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Company and the Insiders.</w:t>
            </w:r>
          </w:p>
        </w:tc>
      </w:tr>
      <w:tr>
        <w:trPr>
          <w:trHeight w:val="283"/>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216"/>
        </w:trPr>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10.5*</w:t>
            </w:r>
          </w:p>
        </w:tc>
        <w:tc>
          <w:tcPr>
            <w:tcW w:w="220" w:type="dxa"/>
            <w:vAlign w:val="bottom"/>
          </w:tcPr>
          <w:p>
            <w:pPr>
              <w:spacing w:after="0"/>
              <w:rPr>
                <w:sz w:val="18"/>
                <w:szCs w:val="18"/>
                <w:color w:val="auto"/>
              </w:rPr>
            </w:pPr>
          </w:p>
        </w:tc>
        <w:tc>
          <w:tcPr>
            <w:tcW w:w="7460" w:type="dxa"/>
            <w:vAlign w:val="bottom"/>
            <w:gridSpan w:val="7"/>
          </w:tcPr>
          <w:p>
            <w:pPr>
              <w:spacing w:after="0"/>
              <w:rPr>
                <w:rFonts w:ascii="Arial" w:cs="Arial" w:eastAsia="Arial" w:hAnsi="Arial"/>
                <w:sz w:val="18"/>
                <w:szCs w:val="18"/>
                <w:color w:val="0000EE"/>
                <w:w w:val="98"/>
              </w:rPr>
            </w:pPr>
            <w:hyperlink w:anchor="page200">
              <w:r>
                <w:rPr>
                  <w:rFonts w:ascii="Arial" w:cs="Arial" w:eastAsia="Arial" w:hAnsi="Arial"/>
                  <w:sz w:val="18"/>
                  <w:szCs w:val="18"/>
                  <w:color w:val="0000EE"/>
                  <w:w w:val="98"/>
                </w:rPr>
                <w:t>Securities Subscription Agreement, dated as of September 2, 2021 between the Registrant and</w:t>
              </w:r>
            </w:hyperlink>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200">
              <w:r>
                <w:rPr>
                  <w:rFonts w:ascii="Arial" w:cs="Arial" w:eastAsia="Arial" w:hAnsi="Arial"/>
                  <w:sz w:val="18"/>
                  <w:szCs w:val="18"/>
                  <w:color w:val="0000EE"/>
                  <w:w w:val="96"/>
                </w:rPr>
                <w:t>ROC Energy Holdings, LLC.</w:t>
              </w:r>
            </w:hyperlink>
          </w:p>
        </w:tc>
        <w:tc>
          <w:tcPr>
            <w:tcW w:w="4900" w:type="dxa"/>
            <w:vAlign w:val="bottom"/>
            <w:tcBorders>
              <w:top w:val="single" w:sz="8" w:color="0000EE"/>
            </w:tcBorders>
            <w:gridSpan w:val="3"/>
          </w:tcPr>
          <w:p>
            <w:pPr>
              <w:spacing w:after="0"/>
              <w:rPr>
                <w:sz w:val="17"/>
                <w:szCs w:val="17"/>
                <w:color w:val="auto"/>
              </w:rPr>
            </w:pPr>
          </w:p>
        </w:tc>
        <w:tc>
          <w:tcPr>
            <w:tcW w:w="360" w:type="dxa"/>
            <w:vAlign w:val="bottom"/>
          </w:tcPr>
          <w:p>
            <w:pPr>
              <w:spacing w:after="0"/>
              <w:rPr>
                <w:sz w:val="17"/>
                <w:szCs w:val="17"/>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Indemnity Agreement.</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Administrative Support Agreement between the Registrant and Fifth Partners, LLC.</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Unit Purchase Agreement between the Registrant and ROC Energy Holdings, LLC.</w:t>
            </w:r>
          </w:p>
        </w:tc>
      </w:tr>
      <w:tr>
        <w:trPr>
          <w:trHeight w:val="230"/>
        </w:trPr>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10.9*</w:t>
            </w:r>
          </w:p>
        </w:tc>
        <w:tc>
          <w:tcPr>
            <w:tcW w:w="220" w:type="dxa"/>
            <w:vAlign w:val="bottom"/>
          </w:tcPr>
          <w:p>
            <w:pPr>
              <w:spacing w:after="0"/>
              <w:rPr>
                <w:sz w:val="19"/>
                <w:szCs w:val="19"/>
                <w:color w:val="auto"/>
              </w:rPr>
            </w:pPr>
          </w:p>
        </w:tc>
        <w:tc>
          <w:tcPr>
            <w:tcW w:w="7460" w:type="dxa"/>
            <w:vAlign w:val="bottom"/>
            <w:gridSpan w:val="7"/>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Promissory Note, dated September 2, 2021, issued to ROC Energy Holdings, LLC</w:t>
              </w:r>
            </w:hyperlink>
          </w:p>
        </w:tc>
      </w:tr>
      <w:tr>
        <w:trPr>
          <w:trHeight w:val="290"/>
        </w:trPr>
        <w:tc>
          <w:tcPr>
            <w:tcW w:w="52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62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Form of Code of Ethics.</w:t>
            </w:r>
          </w:p>
        </w:tc>
        <w:tc>
          <w:tcPr>
            <w:tcW w:w="1260" w:type="dxa"/>
            <w:vAlign w:val="bottom"/>
            <w:gridSpan w:val="2"/>
          </w:tcPr>
          <w:p>
            <w:pPr>
              <w:spacing w:after="0"/>
              <w:rPr>
                <w:sz w:val="24"/>
                <w:szCs w:val="24"/>
                <w:color w:val="auto"/>
              </w:rPr>
            </w:pPr>
          </w:p>
        </w:tc>
      </w:tr>
      <w:tr>
        <w:trPr>
          <w:trHeight w:val="229"/>
        </w:trPr>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23.1*</w:t>
            </w:r>
          </w:p>
        </w:tc>
        <w:tc>
          <w:tcPr>
            <w:tcW w:w="220" w:type="dxa"/>
            <w:vAlign w:val="bottom"/>
          </w:tcPr>
          <w:p>
            <w:pPr>
              <w:spacing w:after="0"/>
              <w:rPr>
                <w:sz w:val="19"/>
                <w:szCs w:val="19"/>
                <w:color w:val="auto"/>
              </w:rPr>
            </w:pPr>
          </w:p>
        </w:tc>
        <w:tc>
          <w:tcPr>
            <w:tcW w:w="28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11">
              <w:r>
                <w:rPr>
                  <w:rFonts w:ascii="Arial" w:cs="Arial" w:eastAsia="Arial" w:hAnsi="Arial"/>
                  <w:sz w:val="18"/>
                  <w:szCs w:val="18"/>
                  <w:color w:val="0000EE"/>
                  <w:w w:val="96"/>
                </w:rPr>
                <w:t>Consent of WithumSmith+Brown PC</w:t>
              </w:r>
            </w:hyperlink>
          </w:p>
        </w:tc>
        <w:tc>
          <w:tcPr>
            <w:tcW w:w="4640" w:type="dxa"/>
            <w:vAlign w:val="bottom"/>
            <w:gridSpan w:val="3"/>
          </w:tcPr>
          <w:p>
            <w:pPr>
              <w:spacing w:after="0"/>
              <w:rPr>
                <w:sz w:val="19"/>
                <w:szCs w:val="19"/>
                <w:color w:val="auto"/>
              </w:rPr>
            </w:pP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Ellenoff Grossman &amp; Schole LLP (included on Exhibit 5.1).</w:t>
            </w:r>
          </w:p>
        </w:tc>
      </w:tr>
      <w:tr>
        <w:trPr>
          <w:trHeight w:val="270"/>
        </w:trPr>
        <w:tc>
          <w:tcPr>
            <w:tcW w:w="52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Power of Attorney (included on signature page of this Registration Statement).</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Audit Committee Charter.</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Compensation Committee Charter.</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Form of Nominating and Corporate Governance Committee Charter.</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Brian Minnehan.</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Alberto Pontonio.</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Lee Canaan.</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Win Graham.</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3"/>
                <w:szCs w:val="23"/>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Consent of Joseph Colonnetta.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To be filed by amendment.</w:t>
      </w: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2340" w:right="1339" w:hanging="360"/>
        <w:spacing w:after="0" w:line="277" w:lineRule="auto"/>
        <w:tabs>
          <w:tab w:leader="none" w:pos="23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700" w:hanging="360"/>
        <w:spacing w:after="0"/>
        <w:tabs>
          <w:tab w:leader="none" w:pos="27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2700" w:right="499" w:hanging="360"/>
        <w:spacing w:after="0" w:line="253" w:lineRule="auto"/>
        <w:tabs>
          <w:tab w:leader="none" w:pos="27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0" w:lineRule="exact"/>
        <w:rPr>
          <w:rFonts w:ascii="Arial" w:cs="Arial" w:eastAsia="Arial" w:hAnsi="Arial"/>
          <w:sz w:val="18"/>
          <w:szCs w:val="18"/>
          <w:color w:val="auto"/>
        </w:rPr>
      </w:pPr>
    </w:p>
    <w:p>
      <w:pPr>
        <w:ind w:left="2700" w:right="1119" w:hanging="360"/>
        <w:spacing w:after="0" w:line="263" w:lineRule="auto"/>
        <w:tabs>
          <w:tab w:leader="none" w:pos="27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ind w:left="2340" w:right="419" w:hanging="360"/>
        <w:spacing w:after="0" w:line="259" w:lineRule="auto"/>
        <w:tabs>
          <w:tab w:leader="none" w:pos="23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2340" w:right="739" w:hanging="360"/>
        <w:spacing w:after="0" w:line="277" w:lineRule="auto"/>
        <w:tabs>
          <w:tab w:leader="none" w:pos="23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2340" w:right="439" w:hanging="360"/>
        <w:spacing w:after="0" w:line="255" w:lineRule="auto"/>
        <w:tabs>
          <w:tab w:leader="none" w:pos="23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5" w:lineRule="exact"/>
        <w:rPr>
          <w:sz w:val="20"/>
          <w:szCs w:val="20"/>
          <w:color w:val="auto"/>
        </w:rPr>
      </w:pPr>
    </w:p>
    <w:p>
      <w:pPr>
        <w:ind w:left="2700" w:right="699" w:hanging="360"/>
        <w:spacing w:after="0" w:line="277" w:lineRule="auto"/>
        <w:tabs>
          <w:tab w:leader="none" w:pos="2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700" w:right="919" w:hanging="360"/>
        <w:spacing w:after="0" w:line="308" w:lineRule="auto"/>
        <w:tabs>
          <w:tab w:leader="none" w:pos="27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8" w:lineRule="exact"/>
        <w:rPr>
          <w:rFonts w:ascii="Arial" w:cs="Arial" w:eastAsia="Arial" w:hAnsi="Arial"/>
          <w:sz w:val="17"/>
          <w:szCs w:val="17"/>
          <w:color w:val="auto"/>
        </w:rPr>
      </w:pPr>
    </w:p>
    <w:p>
      <w:pPr>
        <w:ind w:left="2700" w:right="559" w:hanging="360"/>
        <w:spacing w:after="0" w:line="263" w:lineRule="auto"/>
        <w:tabs>
          <w:tab w:leader="none" w:pos="2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700" w:right="999" w:hanging="360"/>
        <w:spacing w:after="0" w:line="277" w:lineRule="auto"/>
        <w:tabs>
          <w:tab w:leader="none" w:pos="2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9" w:lineRule="exact"/>
        <w:rPr>
          <w:rFonts w:ascii="Arial" w:cs="Arial" w:eastAsia="Arial" w:hAnsi="Arial"/>
          <w:sz w:val="18"/>
          <w:szCs w:val="18"/>
          <w:color w:val="auto"/>
        </w:rPr>
      </w:pPr>
    </w:p>
    <w:p>
      <w:pPr>
        <w:jc w:val="both"/>
        <w:ind w:left="2340" w:right="1139" w:hanging="360"/>
        <w:spacing w:after="0" w:line="274" w:lineRule="auto"/>
        <w:tabs>
          <w:tab w:leader="none" w:pos="2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if the registrant is subject to Rule 430C, each prospectus filed pursuant to</w:t>
      </w:r>
    </w:p>
    <w:p>
      <w:pPr>
        <w:ind w:left="2340" w:right="419"/>
        <w:spacing w:after="0" w:line="292" w:lineRule="auto"/>
        <w:rPr>
          <w:rFonts w:ascii="Arial" w:cs="Arial" w:eastAsia="Arial" w:hAnsi="Arial"/>
          <w:sz w:val="17"/>
          <w:szCs w:val="17"/>
          <w:color w:val="auto"/>
        </w:rPr>
      </w:pPr>
      <w:r>
        <w:rPr>
          <w:rFonts w:ascii="Arial" w:cs="Arial" w:eastAsia="Arial" w:hAnsi="Arial"/>
          <w:sz w:val="16"/>
          <w:szCs w:val="16"/>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539"/>
        <w:spacing w:after="0" w:line="257" w:lineRule="auto"/>
        <w:rPr>
          <w:sz w:val="20"/>
          <w:szCs w:val="20"/>
          <w:color w:val="auto"/>
        </w:rPr>
      </w:pPr>
      <w:r>
        <w:rPr>
          <w:rFonts w:ascii="Arial" w:cs="Arial" w:eastAsia="Arial" w:hAnsi="Arial"/>
          <w:sz w:val="18"/>
          <w:szCs w:val="18"/>
          <w:color w:val="auto"/>
        </w:rPr>
        <w:t>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7" w:lineRule="exact"/>
        <w:rPr>
          <w:sz w:val="20"/>
          <w:szCs w:val="20"/>
          <w:color w:val="auto"/>
        </w:rPr>
      </w:pPr>
    </w:p>
    <w:p>
      <w:pPr>
        <w:ind w:left="1980" w:right="739" w:hanging="360"/>
        <w:spacing w:after="0" w:line="263"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ind w:left="1980" w:right="459" w:hanging="360"/>
        <w:spacing w:after="0" w:line="252"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8"/>
          <w:szCs w:val="18"/>
          <w:color w:val="auto"/>
        </w:rPr>
      </w:pPr>
    </w:p>
    <w:p>
      <w:pPr>
        <w:ind w:left="1980" w:hanging="360"/>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ind w:left="2340" w:right="679" w:hanging="360"/>
        <w:spacing w:after="0" w:line="275" w:lineRule="auto"/>
        <w:tabs>
          <w:tab w:leader="none" w:pos="23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ind w:left="2340" w:right="879" w:hanging="360"/>
        <w:spacing w:after="0" w:line="279" w:lineRule="auto"/>
        <w:tabs>
          <w:tab w:leader="none" w:pos="23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Dallas Texas, on November 8, 2021.</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ROC ENERGY ACQUISITION CORP.</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Daniel Jeffrey Kimes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48895</wp:posOffset>
            </wp:positionV>
            <wp:extent cx="22371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Daniel Jeffrey Kimes</w:t>
      </w:r>
    </w:p>
    <w:p>
      <w:pPr>
        <w:spacing w:after="0" w:line="23"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KNOW ALL MEN BY THESE PRESENTS, that each of the undersigned constitutes and appoints each of Daniel Jeffrey Kimes and Rosemarie Cicalese,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14"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8, 2021.</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000" w:type="dxa"/>
            <w:vAlign w:val="bottom"/>
          </w:tcPr>
          <w:p>
            <w:pPr>
              <w:ind w:left="18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3980" w:type="dxa"/>
            <w:vAlign w:val="bottom"/>
          </w:tcPr>
          <w:p>
            <w:pPr>
              <w:ind w:left="17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5"/>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3"/>
        </w:trPr>
        <w:tc>
          <w:tcPr>
            <w:tcW w:w="4000" w:type="dxa"/>
            <w:vAlign w:val="bottom"/>
          </w:tcPr>
          <w:p>
            <w:pPr>
              <w:spacing w:after="0"/>
              <w:rPr>
                <w:sz w:val="20"/>
                <w:szCs w:val="20"/>
                <w:color w:val="auto"/>
              </w:rPr>
            </w:pPr>
            <w:r>
              <w:rPr>
                <w:rFonts w:ascii="Arial" w:cs="Arial" w:eastAsia="Arial" w:hAnsi="Arial"/>
                <w:sz w:val="18"/>
                <w:szCs w:val="18"/>
                <w:color w:val="auto"/>
              </w:rPr>
              <w:t>/s/ Daniel Jeffrey Kimes</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Daniel Jeffrey Kimes</w:t>
            </w:r>
          </w:p>
        </w:tc>
        <w:tc>
          <w:tcPr>
            <w:tcW w:w="220" w:type="dxa"/>
            <w:vAlign w:val="bottom"/>
            <w:vMerge w:val="continue"/>
          </w:tcPr>
          <w:p>
            <w:pPr>
              <w:spacing w:after="0"/>
              <w:rPr>
                <w:sz w:val="20"/>
                <w:szCs w:val="20"/>
                <w:color w:val="auto"/>
              </w:rPr>
            </w:pPr>
          </w:p>
        </w:tc>
        <w:tc>
          <w:tcPr>
            <w:tcW w:w="3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000" w:type="dxa"/>
            <w:vAlign w:val="bottom"/>
          </w:tcPr>
          <w:p>
            <w:pPr>
              <w:spacing w:after="0"/>
              <w:rPr>
                <w:sz w:val="20"/>
                <w:szCs w:val="20"/>
                <w:color w:val="auto"/>
              </w:rPr>
            </w:pPr>
            <w:r>
              <w:rPr>
                <w:rFonts w:ascii="Arial" w:cs="Arial" w:eastAsia="Arial" w:hAnsi="Arial"/>
                <w:sz w:val="18"/>
                <w:szCs w:val="18"/>
                <w:color w:val="auto"/>
              </w:rPr>
              <w:t>/s/ Rosemarie Cicalese</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Rosemarie Cicalese</w:t>
            </w:r>
          </w:p>
        </w:tc>
        <w:tc>
          <w:tcPr>
            <w:tcW w:w="220" w:type="dxa"/>
            <w:vAlign w:val="bottom"/>
            <w:vMerge w:val="continue"/>
          </w:tcPr>
          <w:p>
            <w:pPr>
              <w:spacing w:after="0"/>
              <w:rPr>
                <w:sz w:val="20"/>
                <w:szCs w:val="20"/>
                <w:color w:val="auto"/>
              </w:rPr>
            </w:pPr>
          </w:p>
        </w:tc>
        <w:tc>
          <w:tcPr>
            <w:tcW w:w="3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 ENERGY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for the purposes of forming a corporation under the laws of the State of Delaware, does make, file, and record this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does hereby certify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ROC Energy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each with a par value of $0.0001 per share, which the Corporation is authorized to issue is 101,000,000 shares, consisting of (a) 100,000,000 shares of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720" w:hanging="416"/>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1300" w:firstLine="652"/>
        <w:spacing w:after="0" w:line="277" w:lineRule="auto"/>
        <w:tabs>
          <w:tab w:leader="none" w:pos="26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jc w:val="both"/>
        <w:ind w:left="1300" w:right="20" w:firstLine="652"/>
        <w:spacing w:after="0" w:line="263" w:lineRule="auto"/>
        <w:tabs>
          <w:tab w:leader="none" w:pos="276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1300" w:firstLine="652"/>
        <w:spacing w:after="0" w:line="290" w:lineRule="auto"/>
        <w:tabs>
          <w:tab w:leader="none" w:pos="269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Except as otherwise required by law or this Certificate (including any Preferred Stock Designation), at any annual or special meeting of the stockholders of the Corporation, holders of the Common Stock,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65" w:lineRule="exact"/>
        <w:rPr>
          <w:rFonts w:ascii="Arial" w:cs="Arial" w:eastAsia="Arial" w:hAnsi="Arial"/>
          <w:sz w:val="16"/>
          <w:szCs w:val="16"/>
          <w:color w:val="auto"/>
        </w:rPr>
      </w:pPr>
    </w:p>
    <w:p>
      <w:pPr>
        <w:jc w:val="both"/>
        <w:ind w:firstLine="1304"/>
        <w:spacing w:after="0" w:line="259" w:lineRule="auto"/>
        <w:tabs>
          <w:tab w:leader="none" w:pos="2104"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01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360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Address</w:t>
            </w:r>
          </w:p>
        </w:tc>
        <w:tc>
          <w:tcPr>
            <w:tcW w:w="1820" w:type="dxa"/>
            <w:vAlign w:val="bottom"/>
          </w:tcPr>
          <w:p>
            <w:pPr>
              <w:spacing w:after="0"/>
              <w:rPr>
                <w:sz w:val="18"/>
                <w:szCs w:val="18"/>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Stuart Neuhauser</w:t>
            </w:r>
          </w:p>
        </w:tc>
        <w:tc>
          <w:tcPr>
            <w:tcW w:w="2440" w:type="dxa"/>
            <w:vAlign w:val="bottom"/>
            <w:gridSpan w:val="2"/>
          </w:tcPr>
          <w:p>
            <w:pPr>
              <w:spacing w:after="0"/>
              <w:rPr>
                <w:sz w:val="20"/>
                <w:szCs w:val="20"/>
                <w:color w:val="auto"/>
              </w:rPr>
            </w:pPr>
            <w:r>
              <w:rPr>
                <w:rFonts w:ascii="Arial" w:cs="Arial" w:eastAsia="Arial" w:hAnsi="Arial"/>
                <w:sz w:val="18"/>
                <w:szCs w:val="18"/>
                <w:color w:val="auto"/>
                <w:w w:val="92"/>
              </w:rPr>
              <w:t>Ellenoff Grossman &amp; Schole LLP</w:t>
            </w:r>
          </w:p>
        </w:tc>
      </w:tr>
      <w:tr>
        <w:trPr>
          <w:trHeight w:val="216"/>
        </w:trPr>
        <w:tc>
          <w:tcPr>
            <w:tcW w:w="4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1345 Avenue of the Americas</w:t>
            </w:r>
          </w:p>
        </w:tc>
      </w:tr>
      <w:tr>
        <w:trPr>
          <w:trHeight w:val="230"/>
        </w:trPr>
        <w:tc>
          <w:tcPr>
            <w:tcW w:w="4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New York, NY 10105</w:t>
            </w:r>
          </w:p>
        </w:tc>
      </w:tr>
      <w:tr>
        <w:trPr>
          <w:trHeight w:val="414"/>
        </w:trPr>
        <w:tc>
          <w:tcPr>
            <w:tcW w:w="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40" w:type="dxa"/>
            <w:vAlign w:val="bottom"/>
            <w:gridSpan w:val="2"/>
          </w:tcPr>
          <w:p>
            <w:pPr>
              <w:ind w:left="36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4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40" w:type="dxa"/>
            <w:vAlign w:val="bottom"/>
            <w:gridSpan w:val="2"/>
          </w:tcPr>
          <w:p>
            <w:pPr>
              <w:ind w:left="360"/>
              <w:spacing w:after="0"/>
              <w:rPr>
                <w:sz w:val="20"/>
                <w:szCs w:val="20"/>
                <w:color w:val="auto"/>
              </w:rPr>
            </w:pPr>
            <w:r>
              <w:rPr>
                <w:rFonts w:ascii="Arial" w:cs="Arial" w:eastAsia="Arial" w:hAnsi="Arial"/>
                <w:sz w:val="18"/>
                <w:szCs w:val="18"/>
                <w:b w:val="1"/>
                <w:bCs w:val="1"/>
                <w:color w:val="auto"/>
              </w:rPr>
              <w:t>DIRECTORS</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660"/>
        <w:spacing w:after="0"/>
        <w:tabs>
          <w:tab w:leader="none" w:pos="19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 xml:space="preserve">Election. </w:t>
      </w:r>
      <w:r>
        <w:rPr>
          <w:rFonts w:ascii="Arial" w:cs="Arial" w:eastAsia="Arial" w:hAnsi="Arial"/>
          <w:sz w:val="16"/>
          <w:szCs w:val="16"/>
          <w:color w:val="auto"/>
        </w:rPr>
        <w:t>Unless and except to the extent that the Bylaws shall so require, the election of directors need not be by written ballot.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spacing w:after="0"/>
        <w:rPr>
          <w:sz w:val="20"/>
          <w:szCs w:val="20"/>
          <w:color w:val="auto"/>
        </w:rPr>
      </w:pPr>
      <w:r>
        <w:rPr>
          <w:rFonts w:ascii="Arial" w:cs="Arial" w:eastAsia="Arial" w:hAnsi="Arial"/>
          <w:sz w:val="16"/>
          <w:szCs w:val="16"/>
          <w:color w:val="auto"/>
        </w:rPr>
        <w:t>IN WITNESS WHEREOF, the undersigned incorporator has executed this Certificate as of the date first set forth above.</w:t>
      </w:r>
    </w:p>
    <w:p>
      <w:pPr>
        <w:spacing w:after="0" w:line="24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Neuhauser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Stuart Neuhauser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3.3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 ENERGY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 place</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160"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b w:val="1"/>
          <w:bCs w:val="1"/>
          <w:color w:val="auto"/>
        </w:rPr>
        <w:t xml:space="preserve">Section 2.3. Notices. </w:t>
      </w:r>
      <w:r>
        <w:rPr>
          <w:rFonts w:ascii="Arial" w:cs="Arial" w:eastAsia="Arial" w:hAnsi="Arial"/>
          <w:sz w:val="17"/>
          <w:szCs w:val="17"/>
          <w:color w:val="auto"/>
        </w:rPr>
        <w:t>Written notice of each stockholders meeting stating the place, if any, date, and time of the meeting,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jc w:val="both"/>
        <w:ind w:firstLine="441"/>
        <w:spacing w:after="0" w:line="287" w:lineRule="auto"/>
        <w:rPr>
          <w:sz w:val="20"/>
          <w:szCs w:val="20"/>
          <w:color w:val="auto"/>
        </w:rPr>
      </w:pPr>
      <w:r>
        <w:rPr>
          <w:rFonts w:ascii="Arial" w:cs="Arial" w:eastAsia="Arial" w:hAnsi="Arial"/>
          <w:sz w:val="16"/>
          <w:szCs w:val="16"/>
          <w:b w:val="1"/>
          <w:bCs w:val="1"/>
          <w:color w:val="auto"/>
        </w:rPr>
        <w:t>Section 2.4. Quorum</w:t>
      </w:r>
      <w:r>
        <w:rPr>
          <w:rFonts w:ascii="Arial" w:cs="Arial" w:eastAsia="Arial" w:hAnsi="Arial"/>
          <w:sz w:val="16"/>
          <w:szCs w:val="16"/>
          <w:color w:val="auto"/>
        </w:rPr>
        <w:t>. Except as otherwise provided by applicable law, the Corporation’s Certificate of Incorporation, as the same may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xml:space="preserve">”) or these By 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84" w:lineRule="auto"/>
        <w:tabs>
          <w:tab w:leader="none" w:pos="699"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jc w:val="both"/>
        <w:ind w:firstLine="8"/>
        <w:spacing w:after="0" w:line="251" w:lineRule="auto"/>
        <w:tabs>
          <w:tab w:leader="none" w:pos="28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197" w:lineRule="exact"/>
        <w:rPr>
          <w:rFonts w:ascii="Arial" w:cs="Arial" w:eastAsia="Arial" w:hAnsi="Arial"/>
          <w:sz w:val="18"/>
          <w:szCs w:val="18"/>
          <w:color w:val="auto"/>
        </w:rPr>
      </w:pPr>
    </w:p>
    <w:p>
      <w:pPr>
        <w:jc w:val="both"/>
        <w:ind w:firstLine="449"/>
        <w:spacing w:after="0" w:line="296" w:lineRule="auto"/>
        <w:tabs>
          <w:tab w:leader="none" w:pos="695"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449"/>
        <w:spacing w:after="0" w:line="255"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firstLine="889"/>
        <w:spacing w:after="0" w:line="263" w:lineRule="auto"/>
        <w:tabs>
          <w:tab w:leader="none" w:pos="11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3" w:lineRule="exact"/>
        <w:rPr>
          <w:rFonts w:ascii="Arial" w:cs="Arial" w:eastAsia="Arial" w:hAnsi="Arial"/>
          <w:sz w:val="18"/>
          <w:szCs w:val="18"/>
          <w:color w:val="auto"/>
        </w:rPr>
      </w:pPr>
    </w:p>
    <w:p>
      <w:pPr>
        <w:jc w:val="both"/>
        <w:ind w:firstLine="889"/>
        <w:spacing w:after="0" w:line="254" w:lineRule="auto"/>
        <w:tabs>
          <w:tab w:leader="none" w:pos="114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91" w:lineRule="exact"/>
        <w:rPr>
          <w:rFonts w:ascii="Arial" w:cs="Arial" w:eastAsia="Arial" w:hAnsi="Arial"/>
          <w:sz w:val="18"/>
          <w:szCs w:val="18"/>
          <w:color w:val="auto"/>
        </w:rPr>
      </w:pPr>
    </w:p>
    <w:p>
      <w:pPr>
        <w:jc w:val="both"/>
        <w:ind w:firstLine="449"/>
        <w:spacing w:after="0" w:line="254"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Required Vote</w:t>
      </w:r>
      <w:r>
        <w:rPr>
          <w:rFonts w:ascii="Arial" w:cs="Arial" w:eastAsia="Arial" w:hAnsi="Arial"/>
          <w:sz w:val="18"/>
          <w:szCs w:val="18"/>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194" w:lineRule="exact"/>
        <w:rPr>
          <w:rFonts w:ascii="Arial" w:cs="Arial" w:eastAsia="Arial" w:hAnsi="Arial"/>
          <w:sz w:val="18"/>
          <w:szCs w:val="18"/>
          <w:color w:val="auto"/>
        </w:rPr>
      </w:pPr>
    </w:p>
    <w:p>
      <w:pPr>
        <w:jc w:val="both"/>
        <w:ind w:firstLine="449"/>
        <w:spacing w:after="0" w:line="269" w:lineRule="auto"/>
        <w:tabs>
          <w:tab w:leader="none" w:pos="68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432"/>
        <w:spacing w:after="0"/>
        <w:rPr>
          <w:sz w:val="20"/>
          <w:szCs w:val="20"/>
          <w:color w:val="auto"/>
        </w:rPr>
      </w:pPr>
      <w:r>
        <w:rPr>
          <w:rFonts w:ascii="Arial" w:cs="Arial" w:eastAsia="Arial" w:hAnsi="Arial"/>
          <w:sz w:val="18"/>
          <w:szCs w:val="18"/>
          <w:b w:val="1"/>
          <w:bCs w:val="1"/>
          <w:color w:val="auto"/>
        </w:rPr>
        <w:t>Section 2.7. Advance Notice for Business</w:t>
      </w:r>
      <w:r>
        <w:rPr>
          <w:rFonts w:ascii="Arial" w:cs="Arial" w:eastAsia="Arial" w:hAnsi="Arial"/>
          <w:sz w:val="18"/>
          <w:szCs w:val="18"/>
          <w:color w:val="auto"/>
        </w:rPr>
        <w:t>.</w:t>
      </w:r>
    </w:p>
    <w:p>
      <w:pPr>
        <w:spacing w:after="0" w:line="229" w:lineRule="exact"/>
        <w:rPr>
          <w:sz w:val="20"/>
          <w:szCs w:val="20"/>
          <w:color w:val="auto"/>
        </w:rPr>
      </w:pPr>
    </w:p>
    <w:p>
      <w:pPr>
        <w:ind w:left="712" w:hanging="271"/>
        <w:spacing w:after="0"/>
        <w:tabs>
          <w:tab w:leader="none" w:pos="712"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No business may be transacted at an annual meeting of stockholders, other than business that is either</w:t>
      </w:r>
    </w:p>
    <w:p>
      <w:pPr>
        <w:spacing w:after="0" w:line="34" w:lineRule="exact"/>
        <w:rPr>
          <w:rFonts w:ascii="Arial" w:cs="Arial" w:eastAsia="Arial" w:hAnsi="Arial"/>
          <w:sz w:val="17"/>
          <w:szCs w:val="17"/>
          <w:color w:val="auto"/>
        </w:rPr>
      </w:pPr>
    </w:p>
    <w:p>
      <w:pPr>
        <w:jc w:val="both"/>
        <w:ind w:left="-8" w:firstLine="8"/>
        <w:spacing w:after="0" w:line="290" w:lineRule="auto"/>
        <w:tabs>
          <w:tab w:leader="none" w:pos="21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be considered for election at such meeting.</w:t>
      </w:r>
    </w:p>
    <w:p>
      <w:pPr>
        <w:spacing w:after="0" w:line="163" w:lineRule="exact"/>
        <w:rPr>
          <w:rFonts w:ascii="Arial" w:cs="Arial" w:eastAsia="Arial" w:hAnsi="Arial"/>
          <w:sz w:val="16"/>
          <w:szCs w:val="16"/>
          <w:color w:val="auto"/>
        </w:rPr>
      </w:pPr>
    </w:p>
    <w:p>
      <w:pPr>
        <w:jc w:val="both"/>
        <w:ind w:left="-8" w:firstLine="889"/>
        <w:spacing w:after="0" w:line="288" w:lineRule="auto"/>
        <w:tabs>
          <w:tab w:leader="none" w:pos="1089" w:val="left"/>
        </w:tabs>
        <w:numPr>
          <w:ilvl w:val="2"/>
          <w:numId w:val="109"/>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6"/>
          <w:szCs w:val="16"/>
          <w:u w:val="single" w:color="auto"/>
          <w:color w:val="auto"/>
        </w:rPr>
        <w:t>Section 2.7(a)(iii)</w:t>
      </w:r>
      <w:r>
        <w:rPr>
          <w:rFonts w:ascii="Arial" w:cs="Arial" w:eastAsia="Arial" w:hAnsi="Arial"/>
          <w:sz w:val="16"/>
          <w:szCs w:val="16"/>
          <w:color w:val="auto"/>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68" w:lineRule="exact"/>
        <w:rPr>
          <w:rFonts w:ascii="Arial" w:cs="Arial" w:eastAsia="Arial" w:hAnsi="Arial"/>
          <w:sz w:val="16"/>
          <w:szCs w:val="16"/>
          <w:color w:val="auto"/>
        </w:rPr>
      </w:pPr>
    </w:p>
    <w:p>
      <w:pPr>
        <w:jc w:val="both"/>
        <w:ind w:left="-8" w:firstLine="889"/>
        <w:spacing w:after="0" w:line="269" w:lineRule="auto"/>
        <w:tabs>
          <w:tab w:leader="none" w:pos="1141" w:val="left"/>
        </w:tabs>
        <w:numPr>
          <w:ilvl w:val="2"/>
          <w:numId w:val="109"/>
        </w:numPr>
        <w:rPr>
          <w:rFonts w:ascii="Arial" w:cs="Arial" w:eastAsia="Arial" w:hAnsi="Arial"/>
          <w:sz w:val="17"/>
          <w:szCs w:val="17"/>
          <w:color w:val="auto"/>
        </w:rPr>
      </w:pPr>
      <w:r>
        <w:rPr>
          <w:rFonts w:ascii="Arial" w:cs="Arial" w:eastAsia="Arial" w:hAnsi="Arial"/>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5" w:name="page186"/>
    <w:bookmarkEnd w:id="185"/>
    <w:p>
      <w:pPr>
        <w:jc w:val="both"/>
        <w:ind w:firstLine="889"/>
        <w:spacing w:after="0" w:line="287" w:lineRule="auto"/>
        <w:tabs>
          <w:tab w:leader="none" w:pos="122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7" w:lineRule="exact"/>
        <w:rPr>
          <w:rFonts w:ascii="Arial" w:cs="Arial" w:eastAsia="Arial" w:hAnsi="Arial"/>
          <w:sz w:val="16"/>
          <w:szCs w:val="16"/>
          <w:color w:val="auto"/>
        </w:rPr>
      </w:pPr>
    </w:p>
    <w:p>
      <w:pPr>
        <w:jc w:val="both"/>
        <w:ind w:right="20" w:firstLine="889"/>
        <w:spacing w:after="0" w:line="286" w:lineRule="auto"/>
        <w:tabs>
          <w:tab w:leader="none" w:pos="119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In addition to the provisions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to affect any rights of stockholders to request inclusion of proposals in the Corporation’s proxy statement pursuant to Rule 14a-8 under the Exchange Act.</w:t>
      </w:r>
    </w:p>
    <w:p>
      <w:pPr>
        <w:spacing w:after="0" w:line="165" w:lineRule="exact"/>
        <w:rPr>
          <w:rFonts w:ascii="Arial" w:cs="Arial" w:eastAsia="Arial" w:hAnsi="Arial"/>
          <w:sz w:val="17"/>
          <w:szCs w:val="17"/>
          <w:color w:val="auto"/>
        </w:rPr>
      </w:pPr>
    </w:p>
    <w:p>
      <w:pPr>
        <w:jc w:val="both"/>
        <w:ind w:firstLine="449"/>
        <w:spacing w:after="0" w:line="286"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449"/>
        <w:spacing w:after="0" w:line="263" w:lineRule="auto"/>
        <w:tabs>
          <w:tab w:leader="none" w:pos="69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Public Announcement</w:t>
      </w:r>
      <w:r>
        <w:rPr>
          <w:rFonts w:ascii="Arial" w:cs="Arial" w:eastAsia="Arial" w:hAnsi="Arial"/>
          <w:sz w:val="18"/>
          <w:szCs w:val="18"/>
          <w:color w:val="auto"/>
        </w:rPr>
        <w:t>. For purposes of these By Laws,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80"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7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Section 2.9. Consents in Lieu of Meeting</w:t>
      </w:r>
      <w:r>
        <w:rPr>
          <w:rFonts w:ascii="Arial" w:cs="Arial" w:eastAsia="Arial" w:hAnsi="Arial"/>
          <w:sz w:val="17"/>
          <w:szCs w:val="17"/>
          <w:color w:val="auto"/>
        </w:rPr>
        <w:t>. Unless otherwise provided by the Certificate of Incorporation, until the Corporation consummates an</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public offering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972"/>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Section 3.1. Powers; Number</w:t>
      </w:r>
      <w:r>
        <w:rPr>
          <w:rFonts w:ascii="Arial" w:cs="Arial" w:eastAsia="Arial" w:hAnsi="Arial"/>
          <w:sz w:val="18"/>
          <w:szCs w:val="18"/>
          <w:color w:val="auto"/>
        </w:rPr>
        <w:t>. The business and affairs of the Corporation shall be managed by or under the direction of the Board,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72" w:lineRule="auto"/>
        <w:tabs>
          <w:tab w:leader="none" w:pos="68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449"/>
        <w:spacing w:after="0" w:line="269" w:lineRule="auto"/>
        <w:tabs>
          <w:tab w:leader="none" w:pos="70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449"/>
        <w:spacing w:after="0" w:line="272" w:lineRule="auto"/>
        <w:tabs>
          <w:tab w:leader="none" w:pos="7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449"/>
        <w:spacing w:after="0" w:line="287" w:lineRule="auto"/>
        <w:tabs>
          <w:tab w:leader="none" w:pos="716"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w:t>
      </w:r>
    </w:p>
    <w:p>
      <w:pPr>
        <w:spacing w:after="0" w:line="2" w:lineRule="exact"/>
        <w:rPr>
          <w:rFonts w:ascii="Arial" w:cs="Arial" w:eastAsia="Arial" w:hAnsi="Arial"/>
          <w:sz w:val="16"/>
          <w:szCs w:val="16"/>
          <w:color w:val="auto"/>
        </w:rPr>
      </w:pPr>
    </w:p>
    <w:p>
      <w:pPr>
        <w:jc w:val="both"/>
        <w:ind w:firstLine="8"/>
        <w:spacing w:after="0" w:line="285" w:lineRule="auto"/>
        <w:tabs>
          <w:tab w:leader="none" w:pos="32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1" w:lineRule="exact"/>
        <w:rPr>
          <w:rFonts w:ascii="Arial" w:cs="Arial" w:eastAsia="Arial" w:hAnsi="Arial"/>
          <w:sz w:val="16"/>
          <w:szCs w:val="16"/>
          <w:color w:val="auto"/>
        </w:rPr>
      </w:pPr>
    </w:p>
    <w:p>
      <w:pPr>
        <w:jc w:val="both"/>
        <w:ind w:firstLine="449"/>
        <w:spacing w:after="0" w:line="275" w:lineRule="auto"/>
        <w:tabs>
          <w:tab w:leader="none" w:pos="696"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If the Board or the chairman of the meeting of stockholders determines that any nomination was not made in accordance with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or that the information provided in a stockholder’s notice does not satisfy the information requirements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then such nomination shall not be considered at the meeting in question. Notwithstanding the foregoing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76" w:lineRule="exact"/>
        <w:rPr>
          <w:rFonts w:ascii="Arial" w:cs="Arial" w:eastAsia="Arial" w:hAnsi="Arial"/>
          <w:sz w:val="17"/>
          <w:szCs w:val="17"/>
          <w:color w:val="auto"/>
        </w:rPr>
      </w:pPr>
    </w:p>
    <w:p>
      <w:pPr>
        <w:jc w:val="both"/>
        <w:ind w:firstLine="449"/>
        <w:spacing w:after="0" w:line="263" w:lineRule="auto"/>
        <w:tabs>
          <w:tab w:leader="none" w:pos="6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b w:val="1"/>
          <w:bCs w:val="1"/>
          <w:color w:val="auto"/>
        </w:rPr>
        <w:t>Section 3.3. Compensation</w:t>
      </w:r>
      <w:r>
        <w:rPr>
          <w:rFonts w:ascii="Arial" w:cs="Arial" w:eastAsia="Arial" w:hAnsi="Arial"/>
          <w:sz w:val="17"/>
          <w:szCs w:val="17"/>
          <w:color w:val="auto"/>
        </w:rPr>
        <w:t>. Unless otherwise restricted by the Certificate of Incorporation or these By Laws, the Board shall have the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Section 4.1. Annual Meetings</w:t>
      </w:r>
      <w:r>
        <w:rPr>
          <w:rFonts w:ascii="Arial" w:cs="Arial" w:eastAsia="Arial" w:hAnsi="Arial"/>
          <w:sz w:val="17"/>
          <w:szCs w:val="17"/>
          <w:color w:val="auto"/>
        </w:rPr>
        <w:t>. The Board shall meet as soon as practicable after the adjournment of each annual stockholders meeting at the place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58"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441"/>
        <w:spacing w:after="0" w:line="287"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President and (b) shall be called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8"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6"/>
          <w:szCs w:val="16"/>
          <w:b w:val="1"/>
          <w:bCs w:val="1"/>
          <w:color w:val="auto"/>
        </w:rPr>
        <w:t>Section 4.4. Quorum; Required Vote</w:t>
      </w:r>
      <w:r>
        <w:rPr>
          <w:rFonts w:ascii="Arial" w:cs="Arial" w:eastAsia="Arial" w:hAnsi="Arial"/>
          <w:sz w:val="16"/>
          <w:szCs w:val="16"/>
          <w:color w:val="auto"/>
        </w:rPr>
        <w:t>. A majority of the Board shall constitute a quorum for the transaction of business at any meeting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5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 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441"/>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Section 6.1. Officers</w:t>
      </w:r>
      <w:r>
        <w:rPr>
          <w:rFonts w:ascii="Arial" w:cs="Arial" w:eastAsia="Arial" w:hAnsi="Arial"/>
          <w:sz w:val="17"/>
          <w:szCs w:val="17"/>
          <w:color w:val="auto"/>
        </w:rPr>
        <w:t>. The officers of the Corporation elected by the Board shall be a Chief Executive Officer, a Chief Financial Officer, a 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176" w:lineRule="exact"/>
        <w:rPr>
          <w:sz w:val="20"/>
          <w:szCs w:val="20"/>
          <w:color w:val="auto"/>
        </w:rPr>
      </w:pPr>
    </w:p>
    <w:p>
      <w:pPr>
        <w:jc w:val="both"/>
        <w:ind w:firstLine="449"/>
        <w:spacing w:after="0" w:line="254"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94" w:lineRule="exact"/>
        <w:rPr>
          <w:rFonts w:ascii="Arial" w:cs="Arial" w:eastAsia="Arial" w:hAnsi="Arial"/>
          <w:sz w:val="18"/>
          <w:szCs w:val="18"/>
          <w:color w:val="auto"/>
        </w:rPr>
      </w:pPr>
    </w:p>
    <w:p>
      <w:pPr>
        <w:jc w:val="both"/>
        <w:ind w:firstLine="449"/>
        <w:spacing w:after="0" w:line="255"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jc w:val="both"/>
        <w:ind w:firstLine="449"/>
        <w:spacing w:after="0" w:line="257"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449"/>
        <w:spacing w:after="0" w:line="263" w:lineRule="auto"/>
        <w:tabs>
          <w:tab w:leader="none" w:pos="70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700" w:hanging="251"/>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9"/>
        <w:spacing w:after="0" w:line="254" w:lineRule="auto"/>
        <w:tabs>
          <w:tab w:leader="none" w:pos="112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jc w:val="both"/>
        <w:ind w:firstLine="889"/>
        <w:spacing w:after="0" w:line="259" w:lineRule="auto"/>
        <w:tabs>
          <w:tab w:leader="none" w:pos="11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firstLine="449"/>
        <w:spacing w:after="0" w:line="277" w:lineRule="auto"/>
        <w:tabs>
          <w:tab w:leader="none" w:pos="66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70" w:lineRule="exact"/>
        <w:rPr>
          <w:rFonts w:ascii="Arial" w:cs="Arial" w:eastAsia="Arial" w:hAnsi="Arial"/>
          <w:sz w:val="18"/>
          <w:szCs w:val="18"/>
          <w:color w:val="auto"/>
        </w:rPr>
      </w:pPr>
    </w:p>
    <w:p>
      <w:pPr>
        <w:jc w:val="both"/>
        <w:ind w:firstLine="449"/>
        <w:spacing w:after="0" w:line="286" w:lineRule="auto"/>
        <w:tabs>
          <w:tab w:leader="none" w:pos="695"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65" w:lineRule="exact"/>
        <w:rPr>
          <w:rFonts w:ascii="Arial" w:cs="Arial" w:eastAsia="Arial" w:hAnsi="Arial"/>
          <w:sz w:val="17"/>
          <w:szCs w:val="17"/>
          <w:color w:val="auto"/>
        </w:rPr>
      </w:pPr>
    </w:p>
    <w:p>
      <w:pPr>
        <w:ind w:firstLine="449"/>
        <w:spacing w:after="0" w:line="277" w:lineRule="auto"/>
        <w:tabs>
          <w:tab w:leader="none" w:pos="70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b w:val="1"/>
          <w:bCs w:val="1"/>
          <w:color w:val="auto"/>
        </w:rPr>
        <w:t>Section 6.4. Multiple Officeholders; Stockholder and Director Officers</w:t>
      </w:r>
      <w:r>
        <w:rPr>
          <w:rFonts w:ascii="Arial" w:cs="Arial" w:eastAsia="Arial" w:hAnsi="Arial"/>
          <w:sz w:val="17"/>
          <w:szCs w:val="17"/>
          <w:color w:val="auto"/>
        </w:rPr>
        <w:t>. Any number of offices may be held by the same person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or these By Laws otherwise provide. Officers need not be stockholders or residents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 series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6"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b w:val="1"/>
          <w:bCs w:val="1"/>
          <w:color w:val="auto"/>
        </w:rPr>
        <w:t>Section 7.3. Signatures</w:t>
      </w:r>
      <w:r>
        <w:rPr>
          <w:rFonts w:ascii="Arial" w:cs="Arial" w:eastAsia="Arial" w:hAnsi="Arial"/>
          <w:sz w:val="18"/>
          <w:szCs w:val="18"/>
          <w:color w:val="auto"/>
        </w:rPr>
        <w:t>. Each certificate representing capital stock of the Corporation shall be signed by or in the name of the Corporation by (a)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59" w:lineRule="auto"/>
        <w:tabs>
          <w:tab w:leader="none" w:pos="6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jc w:val="both"/>
        <w:ind w:firstLine="449"/>
        <w:spacing w:after="0" w:line="279" w:lineRule="auto"/>
        <w:tabs>
          <w:tab w:leader="none" w:pos="70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55" w:lineRule="auto"/>
        <w:tabs>
          <w:tab w:leader="none" w:pos="70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jc w:val="both"/>
        <w:ind w:firstLine="449"/>
        <w:spacing w:after="0" w:line="279" w:lineRule="auto"/>
        <w:tabs>
          <w:tab w:leader="none" w:pos="70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left="440"/>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63" w:lineRule="auto"/>
        <w:tabs>
          <w:tab w:leader="none" w:pos="6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rFonts w:ascii="Arial" w:cs="Arial" w:eastAsia="Arial" w:hAnsi="Arial"/>
          <w:sz w:val="18"/>
          <w:szCs w:val="18"/>
          <w:color w:val="auto"/>
        </w:rPr>
      </w:pPr>
    </w:p>
    <w:p>
      <w:pPr>
        <w:jc w:val="both"/>
        <w:ind w:firstLine="889"/>
        <w:spacing w:after="0" w:line="259" w:lineRule="auto"/>
        <w:tabs>
          <w:tab w:leader="none" w:pos="11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6" w:lineRule="exact"/>
        <w:rPr>
          <w:rFonts w:ascii="Arial" w:cs="Arial" w:eastAsia="Arial" w:hAnsi="Arial"/>
          <w:sz w:val="18"/>
          <w:szCs w:val="18"/>
          <w:color w:val="auto"/>
        </w:rPr>
      </w:pPr>
    </w:p>
    <w:p>
      <w:pPr>
        <w:ind w:firstLine="889"/>
        <w:spacing w:after="0" w:line="277"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the transfer does not violate any restriction on transfer imposed by the Corporation that is enforceable in accordance with </w:t>
      </w:r>
      <w:r>
        <w:rPr>
          <w:rFonts w:ascii="Arial" w:cs="Arial" w:eastAsia="Arial" w:hAnsi="Arial"/>
          <w:sz w:val="16"/>
          <w:szCs w:val="16"/>
          <w:u w:val="single" w:color="auto"/>
          <w:color w:val="auto"/>
        </w:rPr>
        <w:t>Section 7.8(a)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140" w:hanging="251"/>
        <w:spacing w:after="0"/>
        <w:tabs>
          <w:tab w:leader="none" w:pos="11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jc w:val="both"/>
        <w:ind w:firstLine="449"/>
        <w:spacing w:after="0" w:line="286" w:lineRule="auto"/>
        <w:tabs>
          <w:tab w:leader="none" w:pos="70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61"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6"/>
          <w:szCs w:val="16"/>
          <w:b w:val="1"/>
          <w:bCs w:val="1"/>
          <w:color w:val="auto"/>
        </w:rPr>
        <w:t>Section 7.7. Registered Stockholders</w:t>
      </w:r>
      <w:r>
        <w:rPr>
          <w:rFonts w:ascii="Arial" w:cs="Arial" w:eastAsia="Arial" w:hAnsi="Arial"/>
          <w:sz w:val="16"/>
          <w:szCs w:val="16"/>
          <w:color w:val="auto"/>
        </w:rPr>
        <w:t>. Before due presentment for registration of transfer of a certificate representing shares of the Corporation or of</w:t>
      </w:r>
      <w:r>
        <w:rPr>
          <w:rFonts w:ascii="Arial" w:cs="Arial" w:eastAsia="Arial" w:hAnsi="Arial"/>
          <w:sz w:val="16"/>
          <w:szCs w:val="16"/>
          <w:b w:val="1"/>
          <w:bCs w:val="1"/>
          <w:color w:val="auto"/>
        </w:rPr>
        <w:t xml:space="preserve"> </w:t>
      </w:r>
      <w:r>
        <w:rPr>
          <w:rFonts w:ascii="Arial" w:cs="Arial" w:eastAsia="Arial" w:hAnsi="Arial"/>
          <w:sz w:val="16"/>
          <w:szCs w:val="16"/>
          <w:color w:val="auto"/>
        </w:rPr>
        <w:t>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96" w:lineRule="auto"/>
        <w:tabs>
          <w:tab w:leader="none" w:pos="68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61" w:lineRule="exact"/>
        <w:rPr>
          <w:rFonts w:ascii="Arial" w:cs="Arial" w:eastAsia="Arial" w:hAnsi="Arial"/>
          <w:sz w:val="16"/>
          <w:szCs w:val="16"/>
          <w:color w:val="auto"/>
        </w:rPr>
      </w:pPr>
    </w:p>
    <w:p>
      <w:pPr>
        <w:jc w:val="both"/>
        <w:ind w:firstLine="449"/>
        <w:spacing w:after="0" w:line="257" w:lineRule="auto"/>
        <w:tabs>
          <w:tab w:leader="none" w:pos="72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441"/>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 expenses</w:t>
      </w:r>
      <w:r>
        <w:rPr>
          <w:rFonts w:ascii="Arial" w:cs="Arial" w:eastAsia="Arial" w:hAnsi="Arial"/>
          <w:sz w:val="18"/>
          <w:szCs w:val="18"/>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92"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adjudication</w:t>
      </w:r>
      <w:r>
        <w:rPr>
          <w:rFonts w:ascii="Arial" w:cs="Arial" w:eastAsia="Arial" w:hAnsi="Arial"/>
          <w:sz w:val="16"/>
          <w:szCs w:val="16"/>
          <w:color w:val="auto"/>
        </w:rPr>
        <w:t>”) that, the Indemnitee has not met any applicable standard for indemnification set forth in the DGCL. Neither the failure of the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441"/>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Indemnitee may have or hereafter acquire under applicable law, the Certificate of Incorporation, these By Laws, an agreement, a vote of stockholders or disinterested directors, or otherwise.</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8.5. Insurance</w:t>
      </w:r>
      <w:r>
        <w:rPr>
          <w:rFonts w:ascii="Arial" w:cs="Arial" w:eastAsia="Arial" w:hAnsi="Arial"/>
          <w:sz w:val="18"/>
          <w:szCs w:val="18"/>
          <w:color w:val="auto"/>
        </w:rPr>
        <w:t>. The Corporation may maintain insurance, at its expense, to protect itself and/or any director, officer, employee or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0"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b w:val="1"/>
          <w:bCs w:val="1"/>
          <w:color w:val="auto"/>
        </w:rPr>
        <w:t>Section 8.7. Amendments</w:t>
      </w:r>
      <w:r>
        <w:rPr>
          <w:rFonts w:ascii="Arial" w:cs="Arial" w:eastAsia="Arial" w:hAnsi="Arial"/>
          <w:sz w:val="18"/>
          <w:szCs w:val="18"/>
          <w:color w:val="auto"/>
        </w:rPr>
        <w:t>. Any repeal or amendment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the stockholders of the Corporation or by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or the adoption of any other provision of these By 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Section 8.8. Certain Definitions</w:t>
      </w:r>
      <w:r>
        <w:rPr>
          <w:rFonts w:ascii="Arial" w:cs="Arial" w:eastAsia="Arial" w:hAnsi="Arial"/>
          <w:sz w:val="17"/>
          <w:szCs w:val="17"/>
          <w:color w:val="auto"/>
        </w:rPr>
        <w:t>. For purposes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(a) references to “</w:t>
      </w:r>
      <w:r>
        <w:rPr>
          <w:rFonts w:ascii="Arial" w:cs="Arial" w:eastAsia="Arial" w:hAnsi="Arial"/>
          <w:sz w:val="17"/>
          <w:szCs w:val="17"/>
          <w:b w:val="1"/>
          <w:bCs w:val="1"/>
          <w:i w:val="1"/>
          <w:iCs w:val="1"/>
          <w:color w:val="auto"/>
        </w:rPr>
        <w:t>other enterprise</w:t>
      </w:r>
      <w:r>
        <w:rPr>
          <w:rFonts w:ascii="Arial" w:cs="Arial" w:eastAsia="Arial" w:hAnsi="Arial"/>
          <w:sz w:val="17"/>
          <w:szCs w:val="17"/>
          <w:color w:val="auto"/>
        </w:rPr>
        <w:t>” shall include any employee benefit plan;</w:t>
      </w:r>
    </w:p>
    <w:p>
      <w:pPr>
        <w:spacing w:after="0" w:line="39" w:lineRule="exact"/>
        <w:rPr>
          <w:sz w:val="20"/>
          <w:szCs w:val="20"/>
          <w:color w:val="auto"/>
        </w:rPr>
      </w:pPr>
    </w:p>
    <w:p>
      <w:pPr>
        <w:jc w:val="both"/>
        <w:ind w:firstLine="8"/>
        <w:spacing w:after="0" w:line="253" w:lineRule="auto"/>
        <w:tabs>
          <w:tab w:leader="none" w:pos="2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 required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these By 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9.2. Fixing Record Dates</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69" w:lineRule="auto"/>
        <w:tabs>
          <w:tab w:leader="none" w:pos="6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jc w:val="both"/>
        <w:ind w:firstLine="449"/>
        <w:spacing w:after="0" w:line="275" w:lineRule="auto"/>
        <w:tabs>
          <w:tab w:leader="none" w:pos="69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229" w:lineRule="exact"/>
        <w:rPr>
          <w:sz w:val="20"/>
          <w:szCs w:val="20"/>
          <w:color w:val="auto"/>
        </w:rPr>
      </w:pPr>
    </w:p>
    <w:p>
      <w:pPr>
        <w:jc w:val="both"/>
        <w:ind w:firstLine="449"/>
        <w:spacing w:after="0" w:line="288" w:lineRule="auto"/>
        <w:tabs>
          <w:tab w:leader="none" w:pos="699"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 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68" w:lineRule="exact"/>
        <w:rPr>
          <w:rFonts w:ascii="Arial" w:cs="Arial" w:eastAsia="Arial" w:hAnsi="Arial"/>
          <w:sz w:val="16"/>
          <w:szCs w:val="16"/>
          <w:color w:val="auto"/>
        </w:rPr>
      </w:pPr>
    </w:p>
    <w:p>
      <w:pPr>
        <w:jc w:val="both"/>
        <w:ind w:firstLine="449"/>
        <w:spacing w:after="0" w:line="285"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 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449"/>
        <w:spacing w:after="0" w:line="259"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jc w:val="both"/>
        <w:ind w:firstLine="449"/>
        <w:spacing w:after="0" w:line="273" w:lineRule="auto"/>
        <w:tabs>
          <w:tab w:leader="none" w:pos="736"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7" w:lineRule="exact"/>
        <w:rPr>
          <w:rFonts w:ascii="Arial" w:cs="Arial" w:eastAsia="Arial" w:hAnsi="Arial"/>
          <w:sz w:val="17"/>
          <w:szCs w:val="17"/>
          <w:color w:val="auto"/>
        </w:rPr>
      </w:pPr>
    </w:p>
    <w:p>
      <w:pPr>
        <w:jc w:val="both"/>
        <w:ind w:firstLine="449"/>
        <w:spacing w:after="0" w:line="254"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 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 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441"/>
        <w:spacing w:after="0" w:line="277" w:lineRule="auto"/>
        <w:rPr>
          <w:sz w:val="20"/>
          <w:szCs w:val="20"/>
          <w:color w:val="auto"/>
        </w:rPr>
      </w:pPr>
      <w:r>
        <w:rPr>
          <w:rFonts w:ascii="Arial" w:cs="Arial" w:eastAsia="Arial" w:hAnsi="Arial"/>
          <w:sz w:val="17"/>
          <w:szCs w:val="17"/>
          <w:b w:val="1"/>
          <w:bCs w:val="1"/>
          <w:color w:val="auto"/>
        </w:rPr>
        <w:t>Section 9.4. Waiver of Notice</w:t>
      </w:r>
      <w:r>
        <w:rPr>
          <w:rFonts w:ascii="Arial" w:cs="Arial" w:eastAsia="Arial" w:hAnsi="Arial"/>
          <w:sz w:val="17"/>
          <w:szCs w:val="17"/>
          <w:color w:val="auto"/>
        </w:rPr>
        <w:t>. Whenever any notice is required to be given under applicable law, the Certificate of Incorporation, or these By Laws,</w:t>
      </w:r>
      <w:r>
        <w:rPr>
          <w:rFonts w:ascii="Arial" w:cs="Arial" w:eastAsia="Arial" w:hAnsi="Arial"/>
          <w:sz w:val="17"/>
          <w:szCs w:val="17"/>
          <w:b w:val="1"/>
          <w:bCs w:val="1"/>
          <w:color w:val="auto"/>
        </w:rPr>
        <w:t xml:space="preserve"> </w:t>
      </w:r>
      <w:r>
        <w:rPr>
          <w:rFonts w:ascii="Arial" w:cs="Arial" w:eastAsia="Arial" w:hAnsi="Arial"/>
          <w:sz w:val="17"/>
          <w:szCs w:val="17"/>
          <w:color w:val="auto"/>
        </w:rPr>
        <w:t>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jc w:val="both"/>
        <w:ind w:firstLine="449"/>
        <w:spacing w:after="0" w:line="263" w:lineRule="auto"/>
        <w:tabs>
          <w:tab w:leader="none" w:pos="68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firstLine="889"/>
        <w:spacing w:after="0" w:line="254" w:lineRule="auto"/>
        <w:tabs>
          <w:tab w:leader="none" w:pos="115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94" w:lineRule="exact"/>
        <w:rPr>
          <w:rFonts w:ascii="Arial" w:cs="Arial" w:eastAsia="Arial" w:hAnsi="Arial"/>
          <w:sz w:val="18"/>
          <w:szCs w:val="18"/>
          <w:color w:val="auto"/>
        </w:rPr>
      </w:pPr>
    </w:p>
    <w:p>
      <w:pPr>
        <w:jc w:val="both"/>
        <w:ind w:firstLine="449"/>
        <w:spacing w:after="0" w:line="257"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 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jc w:val="both"/>
        <w:ind w:firstLine="441"/>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 these By</w:t>
      </w:r>
      <w:r>
        <w:rPr>
          <w:rFonts w:ascii="Arial" w:cs="Arial" w:eastAsia="Arial" w:hAnsi="Arial"/>
          <w:sz w:val="18"/>
          <w:szCs w:val="18"/>
          <w:b w:val="1"/>
          <w:bCs w:val="1"/>
          <w:color w:val="auto"/>
        </w:rPr>
        <w:t xml:space="preserve"> </w:t>
      </w:r>
      <w:r>
        <w:rPr>
          <w:rFonts w:ascii="Arial" w:cs="Arial" w:eastAsia="Arial" w:hAnsi="Arial"/>
          <w:sz w:val="18"/>
          <w:szCs w:val="18"/>
          <w:color w:val="auto"/>
        </w:rPr>
        <w:t>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 it</w:t>
      </w:r>
      <w:r>
        <w:rPr>
          <w:rFonts w:ascii="Arial" w:cs="Arial" w:eastAsia="Arial" w:hAnsi="Arial"/>
          <w:sz w:val="18"/>
          <w:szCs w:val="18"/>
          <w:b w:val="1"/>
          <w:bCs w:val="1"/>
          <w:color w:val="auto"/>
        </w:rPr>
        <w:t xml:space="preserve"> </w:t>
      </w:r>
      <w:r>
        <w:rPr>
          <w:rFonts w:ascii="Arial" w:cs="Arial" w:eastAsia="Arial" w:hAnsi="Arial"/>
          <w:sz w:val="18"/>
          <w:szCs w:val="18"/>
          <w:color w:val="auto"/>
        </w:rPr>
        <w:t>or a facsimile thereof to be impressed, affixed or otherwise reproduced.</w:t>
      </w:r>
    </w:p>
    <w:p>
      <w:pPr>
        <w:spacing w:after="0" w:line="162"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 transmission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0"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b w:val="1"/>
          <w:bCs w:val="1"/>
          <w:color w:val="auto"/>
        </w:rPr>
        <w:t>Section 9.13. Surety Bonds</w:t>
      </w:r>
      <w:r>
        <w:rPr>
          <w:rFonts w:ascii="Arial" w:cs="Arial" w:eastAsia="Arial" w:hAnsi="Arial"/>
          <w:sz w:val="18"/>
          <w:szCs w:val="18"/>
          <w:color w:val="auto"/>
        </w:rPr>
        <w:t>. Such officers, employees and agents of the Corporation (if any) as the Chairman of the Board,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b w:val="1"/>
          <w:bCs w:val="1"/>
          <w:color w:val="auto"/>
        </w:rPr>
        <w:t>Section 9.14. Securities of Other Corporations</w:t>
      </w:r>
      <w:r>
        <w:rPr>
          <w:rFonts w:ascii="Arial" w:cs="Arial" w:eastAsia="Arial" w:hAnsi="Arial"/>
          <w:sz w:val="18"/>
          <w:szCs w:val="18"/>
          <w:color w:val="auto"/>
        </w:rPr>
        <w:t>. Powers of attorney, proxies, waivers of notice of meeting, consents in writing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92"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 Laws.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be required to adopt, amend, alter or repeal the By Laws. The By 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8.7)of all outstanding shares of capital stock of the Corporation entitled to vote generally in the election of directors, voting together as a single class, shall be required for the stockholders to adopt, amend, alter or repeal the By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10120"/>
        <w:spacing w:after="0"/>
        <w:rPr>
          <w:sz w:val="20"/>
          <w:szCs w:val="20"/>
          <w:color w:val="auto"/>
        </w:rPr>
      </w:pPr>
      <w:r>
        <w:rPr>
          <w:rFonts w:ascii="Arial" w:cs="Arial" w:eastAsia="Arial" w:hAnsi="Arial"/>
          <w:sz w:val="19"/>
          <w:szCs w:val="19"/>
          <w:b w:val="1"/>
          <w:bCs w:val="1"/>
          <w:color w:val="auto"/>
        </w:rPr>
        <w:t>Exhibit 10.5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 Energy Acquisition Corp.</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16400 Dallas Parkway</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Dallas, TX 75248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 Energy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16400 Dallas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Dallas, TX 75248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September 2, 2021 by and between ROC Energy Holdings,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ROC Energy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Pursuant to the terms hereof, the Company hereby accepts the offer the Subscriber has made to purchase 4,312,500 shares of Common Stock, $0.0001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up to 562,500 of which are subject to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191" w:lineRule="exact"/>
        <w:rPr>
          <w:sz w:val="20"/>
          <w:szCs w:val="20"/>
          <w:color w:val="auto"/>
        </w:rPr>
      </w:pPr>
    </w:p>
    <w:p>
      <w:pPr>
        <w:ind w:left="680" w:hanging="672"/>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p>
    <w:p>
      <w:pPr>
        <w:spacing w:after="0" w:line="22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of Shares.</w:t>
      </w:r>
      <w:r>
        <w:rPr>
          <w:rFonts w:ascii="Arial" w:cs="Arial" w:eastAsia="Arial" w:hAnsi="Arial"/>
          <w:sz w:val="16"/>
          <w:szCs w:val="16"/>
          <w:color w:val="auto"/>
        </w:rPr>
        <w:t xml:space="preserve"> For the sum of $25,000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the Company acknowledges receiving in cash, the Company hereby issues the Shares to the Subscriber, and the Subscriber hereby purchases the Shares from the Company, subject to forfeiture, on the terms and subject to the conditions set forth in this Agreement. Concurrently with the Subscriber’s execution of this Agreement, the Company shall, at its option, deliver to the Subscriber a certificate registered in the Subscriber’s name representing the shares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or effect such delivery in book-entry form.</w:t>
      </w:r>
    </w:p>
    <w:p>
      <w:pPr>
        <w:spacing w:after="0" w:line="155" w:lineRule="exact"/>
        <w:rPr>
          <w:sz w:val="20"/>
          <w:szCs w:val="20"/>
          <w:color w:val="auto"/>
        </w:rPr>
      </w:pPr>
    </w:p>
    <w:p>
      <w:pPr>
        <w:ind w:left="680" w:hanging="67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xml:space="preserve">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xml:space="preserve"> The Subscriber understands that no federal or state agency has passed upon or made any recommendation or endorsement of the offering of the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xml:space="preserve">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0" w:name="page201"/>
    <w:bookmarkEnd w:id="200"/>
    <w:p>
      <w:pPr>
        <w:jc w:val="both"/>
        <w:ind w:firstLine="648"/>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xml:space="preserv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xml:space="preserv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to “accredited investors” within the meaning of Section 501(a) of Regulation D under the Securities Act or similar exemptions under state law.</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Investment Purposes.</w:t>
      </w:r>
      <w:r>
        <w:rPr>
          <w:rFonts w:ascii="Arial" w:cs="Arial" w:eastAsia="Arial" w:hAnsi="Arial"/>
          <w:sz w:val="17"/>
          <w:szCs w:val="17"/>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xml:space="preserve">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xml:space="preserve">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xml:space="preserve"> To induce the Subscriber to purchase the Shares, the Company hereby represents and warrants to the Subscriber and agrees with the Subscriber as follows: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Company of the transactions contemplated hereby do not violate, conflict with or constitute a default under (i) the Certificate of Incorporation or By Laws of the Company, (ii) any agreement, indenture or instrument to which the Company is a party or (iii) any law, statute, rule or regulation to which the Company is subject, or any agreement, order, judgment or decree to which the Company is subject.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xml:space="preserve">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 (c) liens, claims or encumbrances imposed due to the actions of the Subscriber.</w:t>
      </w:r>
    </w:p>
    <w:p>
      <w:pPr>
        <w:spacing w:after="0" w:line="17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 xml:space="preserve">No Adverse Actions. </w:t>
      </w:r>
      <w:r>
        <w:rPr>
          <w:rFonts w:ascii="Arial" w:cs="Arial" w:eastAsia="Arial" w:hAnsi="Arial"/>
          <w:sz w:val="16"/>
          <w:szCs w:val="16"/>
          <w:color w:val="auto"/>
        </w:rPr>
        <w:t>There are no actions, suits, investigations or proceedings pending, threatened against or affecting the Company</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which: (i) seek to 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185" w:lineRule="exact"/>
        <w:rPr>
          <w:sz w:val="20"/>
          <w:szCs w:val="20"/>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Partial or No Exercise of the Over-allotment Option.</w:t>
      </w:r>
      <w:r>
        <w:rPr>
          <w:rFonts w:ascii="Arial" w:cs="Arial" w:eastAsia="Arial" w:hAnsi="Arial"/>
          <w:sz w:val="16"/>
          <w:szCs w:val="16"/>
          <w:color w:val="auto"/>
        </w:rPr>
        <w:t xml:space="preserve"> In the event the Over-allotment Option granted to the underwriters of the IPO is not exercised in full, the Subscriber acknowledges and agrees that it (or, if applicable, it and any transferees of Shares) shall forfeit any and all rights to such number of Shares (up to an aggregate of 562,500 Shares and pro rata based upon the percentage of the Over-allotment Option exercised) such that immediately following such forfeiture, the Subscriber will own an aggregate number of Shares (not including any placement securities that are expected to be purchased at the closing of the IPO, shares issued to the underwriters in the IPO, Shares issuable upon conversion of any rights or any Common Stock purchased by Subscriber in the IPO or in the aftermarket) equal to 20% of the issued and outstanding Shares immediately following the IPO.</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xml:space="preserve"> If any of the Shares are forfeited in accordance with this Section 3, then after such time the Subscriber (or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xml:space="preserve"> </w:t>
      </w:r>
      <w:r>
        <w:rPr>
          <w:rFonts w:ascii="Arial" w:cs="Arial" w:eastAsia="Arial" w:hAnsi="Arial"/>
          <w:sz w:val="17"/>
          <w:szCs w:val="17"/>
          <w:color w:val="auto"/>
          <w:highlight w:val="white"/>
        </w:rPr>
        <w:t>In the event an adjustment to the Original Certificates, if any, is required pursuant to this Section 3, then the Subscriber shall</w:t>
      </w:r>
      <w:r>
        <w:rPr>
          <w:rFonts w:ascii="Arial" w:cs="Arial" w:eastAsia="Arial" w:hAnsi="Arial"/>
          <w:sz w:val="17"/>
          <w:szCs w:val="17"/>
          <w:color w:val="auto"/>
        </w:rPr>
        <w:t xml:space="preserve">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if any, shall be issued in such amount representing the adjusted number of Shares held by the Subscriber. The New Certificate, if any, shall be returned to the Subscriber as soon as practicable. Any such adjustment for any uncertificated securities held by the Subscriber shall be made in book-entry form.</w:t>
      </w:r>
    </w:p>
    <w:p>
      <w:pPr>
        <w:spacing w:after="0" w:line="176" w:lineRule="exact"/>
        <w:rPr>
          <w:sz w:val="20"/>
          <w:szCs w:val="20"/>
          <w:color w:val="auto"/>
        </w:rPr>
      </w:pPr>
    </w:p>
    <w:p>
      <w:pPr>
        <w:jc w:val="both"/>
        <w:ind w:firstLine="8"/>
        <w:spacing w:after="0" w:line="254" w:lineRule="auto"/>
        <w:tabs>
          <w:tab w:leader="none" w:pos="82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Waiver of Liquidation Distributions; Redemption Rights.</w:t>
      </w:r>
      <w:r>
        <w:rPr>
          <w:rFonts w:ascii="Arial" w:cs="Arial" w:eastAsia="Arial" w:hAnsi="Arial"/>
          <w:sz w:val="18"/>
          <w:szCs w:val="18"/>
          <w:color w:val="auto"/>
        </w:rPr>
        <w:t xml:space="preserve">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8"/>
          <w:szCs w:val="18"/>
          <w:b w:val="1"/>
          <w:bCs w:val="1"/>
          <w:color w:val="auto"/>
        </w:rPr>
        <w:t>Trust</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 in the event of a liquidation of the Company upon the Company’s failure to timely complete an initial business combination.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clarity, in the event the Subscriber purchases Shares in the IPO or in the aftermarket, any additional Shares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680" w:hanging="672"/>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rPr>
        <w:t>. Subscriber acknowledges that the Securities will be subject to lock-up provisions (the “</w:t>
      </w:r>
      <w:r>
        <w:rPr>
          <w:rFonts w:ascii="Arial" w:cs="Arial" w:eastAsia="Arial" w:hAnsi="Arial"/>
          <w:sz w:val="17"/>
          <w:szCs w:val="17"/>
          <w:b w:val="1"/>
          <w:bCs w:val="1"/>
          <w:color w:val="auto"/>
        </w:rPr>
        <w:t>Lock-up</w:t>
      </w:r>
      <w:r>
        <w:rPr>
          <w:rFonts w:ascii="Arial" w:cs="Arial" w:eastAsia="Arial" w:hAnsi="Arial"/>
          <w:sz w:val="17"/>
          <w:szCs w:val="17"/>
          <w:color w:val="auto"/>
        </w:rPr>
        <w:t>”) contained in the Insider Letter.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xml:space="preserve"> Any certificates representing the Shares shall have endorsed thereon legends substantially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SECURITIES REPRESENTED BY THIS CERTIFICATE ARE SUBJECT TO A LOCKUP AND MAY NOT BE OFFERED, SOLD, TRANSFERRED, PLEDGED OR OTHERWISE DISPOSED DURING THE TERM OF THE LOCKUP.”</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xml:space="preserve">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680" w:hanging="672"/>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together with the Insider Letter and the Registration Rights Agreement, each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32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xml:space="preserve"> The terms and provisions of this Agreement may be modified or amended only by written agreement executed by all parties hereto.</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xml:space="preserve">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xml:space="preserve">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324"/>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xml:space="preserve">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jc w:val="both"/>
        <w:ind w:firstLine="8"/>
        <w:spacing w:after="0" w:line="259" w:lineRule="auto"/>
        <w:tabs>
          <w:tab w:leader="none" w:pos="81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Voting and Tender of Shares.</w:t>
      </w:r>
      <w:r>
        <w:rPr>
          <w:rFonts w:ascii="Arial" w:cs="Arial" w:eastAsia="Arial" w:hAnsi="Arial"/>
          <w:sz w:val="18"/>
          <w:szCs w:val="18"/>
          <w:color w:val="auto"/>
        </w:rPr>
        <w:t xml:space="preserve"> Subscriber agrees to vote the Shares in favor of an initial business combination that the Company negotiates and submits for approval to the Company’s stockholders and shall not seek redemption with respect to such Shares. Additionally, the Subscriber agrees not to tender any Shares in connection with a tender offer presented to the Company’s stockholders in connection with an initial business combination negotiated by the Company.</w:t>
      </w:r>
    </w:p>
    <w:p>
      <w:pPr>
        <w:spacing w:after="0" w:line="186" w:lineRule="exact"/>
        <w:rPr>
          <w:rFonts w:ascii="Arial" w:cs="Arial" w:eastAsia="Arial" w:hAnsi="Arial"/>
          <w:sz w:val="18"/>
          <w:szCs w:val="18"/>
          <w:color w:val="auto"/>
        </w:rPr>
      </w:pPr>
    </w:p>
    <w:p>
      <w:pPr>
        <w:ind w:firstLine="8"/>
        <w:spacing w:after="0" w:line="277" w:lineRule="auto"/>
        <w:tabs>
          <w:tab w:leader="none" w:pos="50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party shall indemnify the other against any loss, cost or damages (including reasonable attorney’s fees and expenses) incurred as a result of such party’s breach of any representation, warranty, covenant or agreement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center"/>
        <w:ind w:right="-59"/>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 ENERGY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Drysdale</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Joe Drysdale</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 ENERGY ACQUISITION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Jeffrey Kimes</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Daniel Jeffrey Kimes</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941" w:lineRule="exact"/>
        <w:rPr>
          <w:sz w:val="20"/>
          <w:szCs w:val="20"/>
          <w:color w:val="auto"/>
        </w:rPr>
      </w:pPr>
    </w:p>
    <w:p>
      <w:pPr>
        <w:sectPr>
          <w:pgSz w:w="11900" w:h="16838" w:orient="portrait"/>
          <w:cols w:equalWidth="0" w:num="2">
            <w:col w:w="5620" w:space="20"/>
            <w:col w:w="5600"/>
          </w:cols>
          <w:pgMar w:left="320" w:top="908"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Securities Subscription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06" w:name="page207"/>
    <w:bookmarkEnd w:id="206"/>
    <w:p>
      <w:pPr>
        <w:ind w:left="10320"/>
        <w:spacing w:after="0"/>
        <w:rPr>
          <w:sz w:val="20"/>
          <w:szCs w:val="20"/>
          <w:color w:val="auto"/>
        </w:rPr>
      </w:pPr>
      <w:r>
        <w:rPr>
          <w:rFonts w:ascii="Arial" w:cs="Arial" w:eastAsia="Arial" w:hAnsi="Arial"/>
          <w:sz w:val="16"/>
          <w:szCs w:val="16"/>
          <w:b w:val="1"/>
          <w:bCs w:val="1"/>
          <w:color w:val="auto"/>
        </w:rPr>
        <w:t>Exhibit 10.9</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jc w:val="right"/>
              <w:ind w:right="4650"/>
              <w:spacing w:after="0"/>
              <w:rPr>
                <w:sz w:val="20"/>
                <w:szCs w:val="20"/>
                <w:color w:val="auto"/>
              </w:rPr>
            </w:pPr>
            <w:r>
              <w:rPr>
                <w:rFonts w:ascii="Arial" w:cs="Arial" w:eastAsia="Arial" w:hAnsi="Arial"/>
                <w:sz w:val="18"/>
                <w:szCs w:val="18"/>
                <w:b w:val="1"/>
                <w:bCs w:val="1"/>
                <w:color w:val="auto"/>
              </w:rPr>
              <w:t>PROMISSORY NOTE</w:t>
            </w:r>
          </w:p>
        </w:tc>
        <w:tc>
          <w:tcPr>
            <w:tcW w:w="0" w:type="dxa"/>
            <w:vAlign w:val="bottom"/>
          </w:tcPr>
          <w:p>
            <w:pPr>
              <w:spacing w:after="0"/>
              <w:rPr>
                <w:sz w:val="1"/>
                <w:szCs w:val="1"/>
                <w:color w:val="auto"/>
              </w:rPr>
            </w:pPr>
          </w:p>
        </w:tc>
      </w:tr>
      <w:tr>
        <w:trPr>
          <w:trHeight w:val="418"/>
        </w:trPr>
        <w:tc>
          <w:tcPr>
            <w:tcW w:w="3640" w:type="dxa"/>
            <w:vAlign w:val="bottom"/>
            <w:vMerge w:val="restart"/>
          </w:tcPr>
          <w:p>
            <w:pPr>
              <w:spacing w:after="0"/>
              <w:rPr>
                <w:sz w:val="20"/>
                <w:szCs w:val="20"/>
                <w:color w:val="auto"/>
              </w:rPr>
            </w:pPr>
            <w:r>
              <w:rPr>
                <w:rFonts w:ascii="Arial" w:cs="Arial" w:eastAsia="Arial" w:hAnsi="Arial"/>
                <w:sz w:val="18"/>
                <w:szCs w:val="18"/>
                <w:color w:val="auto"/>
              </w:rPr>
              <w:t>Principal Amount: Up to $300,000</w:t>
            </w:r>
          </w:p>
        </w:tc>
        <w:tc>
          <w:tcPr>
            <w:tcW w:w="7600" w:type="dxa"/>
            <w:vAlign w:val="bottom"/>
          </w:tcPr>
          <w:p>
            <w:pPr>
              <w:jc w:val="right"/>
              <w:spacing w:after="0"/>
              <w:rPr>
                <w:sz w:val="20"/>
                <w:szCs w:val="20"/>
                <w:color w:val="auto"/>
              </w:rPr>
            </w:pPr>
            <w:r>
              <w:rPr>
                <w:rFonts w:ascii="Arial" w:cs="Arial" w:eastAsia="Arial" w:hAnsi="Arial"/>
                <w:sz w:val="18"/>
                <w:szCs w:val="18"/>
                <w:color w:val="auto"/>
              </w:rPr>
              <w:t>Dated as of September 2, 201</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7600" w:type="dxa"/>
            <w:vAlign w:val="bottom"/>
            <w:vMerge w:val="restart"/>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7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ROC Energy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ROC Energy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jc w:val="both"/>
        <w:ind w:right="20" w:firstLine="8"/>
        <w:spacing w:after="0" w:line="261" w:lineRule="auto"/>
        <w:tabs>
          <w:tab w:leader="none" w:pos="787"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September 30, 2022 or (ii)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Maker 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680" w:hanging="672"/>
        <w:spacing w:after="0"/>
        <w:tabs>
          <w:tab w:leader="none" w:pos="6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jc w:val="both"/>
        <w:ind w:firstLine="8"/>
        <w:spacing w:after="0" w:line="270" w:lineRule="auto"/>
        <w:tabs>
          <w:tab w:leader="none" w:pos="767"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up to Three Hundred Thousand Dollars ($300,000) for costs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Maker’s initial public offering of its securities. The principal of this Note may be drawn down from time to time prior to the earlier of: (i) September 30, 2022 or (ii) the date on which Maker consummates an initial public offering of its securities,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Three Hundred Thousand Dollars ($300,000).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w:t>
      </w:r>
    </w:p>
    <w:p>
      <w:pPr>
        <w:spacing w:after="0" w:line="176" w:lineRule="exact"/>
        <w:rPr>
          <w:rFonts w:ascii="Arial" w:cs="Arial" w:eastAsia="Arial" w:hAnsi="Arial"/>
          <w:sz w:val="17"/>
          <w:szCs w:val="17"/>
          <w:b w:val="1"/>
          <w:bCs w:val="1"/>
          <w:color w:val="auto"/>
        </w:rPr>
      </w:pPr>
    </w:p>
    <w:p>
      <w:pPr>
        <w:jc w:val="both"/>
        <w:ind w:firstLine="8"/>
        <w:spacing w:after="0" w:line="266" w:lineRule="auto"/>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680" w:hanging="672"/>
        <w:spacing w:after="0"/>
        <w:tabs>
          <w:tab w:leader="none" w:pos="6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 w:firstLine="656"/>
        <w:spacing w:after="0" w:line="277" w:lineRule="auto"/>
        <w:tabs>
          <w:tab w:leader="none" w:pos="145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713"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7" w:name="page208"/>
    <w:bookmarkEnd w:id="207"/>
    <w:p>
      <w:pPr>
        <w:jc w:val="both"/>
        <w:ind w:left="-8" w:firstLine="656"/>
        <w:spacing w:after="0" w:line="259" w:lineRule="auto"/>
        <w:tabs>
          <w:tab w:leader="none" w:pos="138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672" w:hanging="672"/>
        <w:spacing w:after="0"/>
        <w:tabs>
          <w:tab w:leader="none" w:pos="67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8" w:firstLine="656"/>
        <w:spacing w:after="0" w:line="259" w:lineRule="auto"/>
        <w:tabs>
          <w:tab w:leader="none" w:pos="135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8" w:right="20" w:firstLine="656"/>
        <w:spacing w:after="0" w:line="342" w:lineRule="auto"/>
        <w:tabs>
          <w:tab w:leader="none" w:pos="140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jc w:val="both"/>
        <w:ind w:left="-8" w:firstLine="8"/>
        <w:spacing w:after="0" w:line="294" w:lineRule="auto"/>
        <w:tabs>
          <w:tab w:leader="none" w:pos="825"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w:t>
      </w:r>
      <w:r>
        <w:rPr>
          <w:rFonts w:ascii="Arial" w:cs="Arial" w:eastAsia="Arial" w:hAnsi="Arial"/>
          <w:sz w:val="16"/>
          <w:szCs w:val="16"/>
          <w:b w:val="1"/>
          <w:bCs w:val="1"/>
          <w:color w:val="auto"/>
        </w:rPr>
        <w:t xml:space="preserve"> </w:t>
      </w:r>
      <w:r>
        <w:rPr>
          <w:rFonts w:ascii="Arial" w:cs="Arial" w:eastAsia="Arial" w:hAnsi="Arial"/>
          <w:sz w:val="16"/>
          <w:szCs w:val="16"/>
          <w:color w:val="auto"/>
        </w:rPr>
        <w:t>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jc w:val="both"/>
        <w:ind w:left="-8" w:firstLine="8"/>
        <w:spacing w:after="0" w:line="298" w:lineRule="auto"/>
        <w:tabs>
          <w:tab w:leader="none" w:pos="754"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jc w:val="both"/>
        <w:ind w:left="-8" w:firstLine="8"/>
        <w:spacing w:after="0" w:line="273" w:lineRule="auto"/>
        <w:tabs>
          <w:tab w:leader="none" w:pos="748"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 (i)</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b w:val="1"/>
          <w:bCs w:val="1"/>
          <w:color w:val="auto"/>
        </w:rPr>
      </w:pPr>
    </w:p>
    <w:p>
      <w:pPr>
        <w:ind w:left="-8" w:firstLine="8"/>
        <w:spacing w:after="0" w:line="282" w:lineRule="auto"/>
        <w:tabs>
          <w:tab w:leader="none" w:pos="977"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 PROVISIONS THEREOF.</w:t>
      </w:r>
    </w:p>
    <w:p>
      <w:pPr>
        <w:spacing w:after="0" w:line="161" w:lineRule="exact"/>
        <w:rPr>
          <w:rFonts w:ascii="Arial" w:cs="Arial" w:eastAsia="Arial" w:hAnsi="Arial"/>
          <w:sz w:val="18"/>
          <w:szCs w:val="18"/>
          <w:b w:val="1"/>
          <w:bCs w:val="1"/>
          <w:color w:val="auto"/>
        </w:rPr>
      </w:pPr>
    </w:p>
    <w:p>
      <w:pPr>
        <w:jc w:val="both"/>
        <w:ind w:left="-8" w:firstLine="8"/>
        <w:spacing w:after="0" w:line="266" w:lineRule="auto"/>
        <w:tabs>
          <w:tab w:leader="none" w:pos="83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8" w:name="page209"/>
    <w:bookmarkEnd w:id="208"/>
    <w:p>
      <w:pPr>
        <w:jc w:val="both"/>
        <w:ind w:firstLine="8"/>
        <w:spacing w:after="0" w:line="256" w:lineRule="auto"/>
        <w:tabs>
          <w:tab w:leader="none" w:pos="78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Trust Waiver</w:t>
      </w:r>
      <w:r>
        <w:rPr>
          <w:rFonts w:ascii="Arial" w:cs="Arial" w:eastAsia="Arial" w:hAnsi="Arial"/>
          <w:sz w:val="18"/>
          <w:szCs w:val="18"/>
          <w:color w:val="auto"/>
        </w:rPr>
        <w:t>. Notwithstanding anything herein to the contrary, the Payee hereby waives any and all right, title, interest or claim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14</w:t>
      </w:r>
      <w:r>
        <w:rPr>
          <w:rFonts w:ascii="Arial" w:cs="Arial" w:eastAsia="Arial" w:hAnsi="Arial"/>
          <w:sz w:val="17"/>
          <w:szCs w:val="17"/>
          <w:color w:val="auto"/>
        </w:rPr>
        <w:t>.</w:t>
      </w:r>
      <w:r>
        <w:rPr>
          <w:rFonts w:ascii="Arial" w:cs="Arial" w:eastAsia="Arial" w:hAnsi="Arial"/>
          <w:sz w:val="17"/>
          <w:szCs w:val="17"/>
          <w:b w:val="1"/>
          <w:bCs w:val="1"/>
          <w:color w:val="auto"/>
        </w:rPr>
        <w:t xml:space="preserve"> Assignment</w:t>
      </w:r>
      <w:r>
        <w:rPr>
          <w:rFonts w:ascii="Arial" w:cs="Arial" w:eastAsia="Arial" w:hAnsi="Arial"/>
          <w:sz w:val="17"/>
          <w:szCs w:val="17"/>
          <w:color w:val="auto"/>
        </w:rPr>
        <w:t>. No assignment or transfer of this Note or any rights or obligations hereunder may be made by any party hereto (by operation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without the prior written consent of the other party hereto and any attempted assignment without the required consent shall be void.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ROC ENERGY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Daniel Jeffrey Kimes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Daniel Jeffrey Kimes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Form S-1 of our report dated November 8, 2021 (which includes an explanatory paragraph relating to ROC Energy Acquisition Corp.’s ability to continue as a going concern), relating to the financial statements of ROC Energy Acquisition Corp. , which is contained in that Prospectus. We also consent to the reference to us under the caption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1)"/>
      <w:numFmt w:val="decimal"/>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1)"/>
      <w:numFmt w:val="decimal"/>
      <w:start w:val="1"/>
    </w:lvl>
  </w:abstractNum>
  <w:abstractNum w:abstractNumId="5">
    <w:nsid w:val="799D0247"/>
    <w:multiLevelType w:val="hybridMultilevel"/>
    <w:lvl w:ilvl="0">
      <w:lvlJc w:val="left"/>
      <w:lvlText w:val="(%1)"/>
      <w:numFmt w:val="lowerLetter"/>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amp;"/>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1)"/>
      <w:numFmt w:val="lowerRoman"/>
      <w:start w:val="2"/>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1)"/>
      <w:numFmt w:val="lowerRoman"/>
      <w:start w:val="1"/>
    </w:lvl>
  </w:abstractNum>
  <w:abstractNum w:abstractNumId="14">
    <w:nsid w:val="51D9C564"/>
    <w:multiLevelType w:val="hybridMultilevel"/>
    <w:lvl w:ilvl="0">
      <w:lvlJc w:val="left"/>
      <w:lvlText w:val="(%1)"/>
      <w:numFmt w:val="lowerRoman"/>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1)"/>
      <w:numFmt w:val="decimal"/>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1)"/>
      <w:numFmt w:val="lowerRoman"/>
      <w:start w:val="1"/>
    </w:lvl>
  </w:abstractNum>
  <w:abstractNum w:abstractNumId="21">
    <w:nsid w:val="1A32234B"/>
    <w:multiLevelType w:val="hybridMultilevel"/>
    <w:lvl w:ilvl="0">
      <w:lvlJc w:val="left"/>
      <w:lvlText w:val="(%1)"/>
      <w:numFmt w:val="decimal"/>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1)"/>
      <w:numFmt w:val="upperLetter"/>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3"/>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1)"/>
      <w:numFmt w:val="lowerLetter"/>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1)"/>
      <w:numFmt w:val="lowerRoman"/>
      <w:start w:val="1"/>
    </w:lvl>
  </w:abstractNum>
  <w:abstractNum w:abstractNumId="45">
    <w:nsid w:val="46B7D447"/>
    <w:multiLevelType w:val="hybridMultilevel"/>
    <w:lvl w:ilvl="0">
      <w:lvlJc w:val="left"/>
      <w:lvlText w:val="(%1)"/>
      <w:numFmt w:val="lowerRoman"/>
      <w:start w:val="2"/>
    </w:lvl>
  </w:abstractNum>
  <w:abstractNum w:abstractNumId="46">
    <w:nsid w:val="4A2AC315"/>
    <w:multiLevelType w:val="hybridMultilevel"/>
    <w:lvl w:ilvl="0">
      <w:lvlJc w:val="left"/>
      <w:lvlText w:val="(%1)"/>
      <w:numFmt w:val="lowerRoman"/>
      <w:start w:val="1"/>
    </w:lvl>
  </w:abstractNum>
  <w:abstractNum w:abstractNumId="47">
    <w:nsid w:val="39EE015C"/>
    <w:multiLevelType w:val="hybridMultilevel"/>
    <w:lvl w:ilvl="0">
      <w:lvlJc w:val="left"/>
      <w:lvlText w:val="(%1)"/>
      <w:numFmt w:val="lowerRoman"/>
      <w:start w:val="3"/>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1)"/>
      <w:numFmt w:val="lowerRoman"/>
      <w:start w:val="3"/>
    </w:lvl>
  </w:abstractNum>
  <w:abstractNum w:abstractNumId="54">
    <w:nsid w:val="49DA307D"/>
    <w:multiLevelType w:val="hybridMultilevel"/>
    <w:lvl w:ilvl="0">
      <w:lvlJc w:val="left"/>
      <w:lvlText w:val="(%1)"/>
      <w:numFmt w:val="lowerRoman"/>
      <w:start w:val="2"/>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lowerLetter"/>
      <w:start w:val="2"/>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1)"/>
      <w:numFmt w:val="lowerRoman"/>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1"/>
    </w:lvl>
  </w:abstractNum>
  <w:abstractNum w:abstractNumId="87">
    <w:nsid w:val="7C58FD05"/>
    <w:multiLevelType w:val="hybridMultilevel"/>
    <w:lvl w:ilvl="0">
      <w:lvlJc w:val="left"/>
      <w:lvlText w:val="(%1)"/>
      <w:numFmt w:val="lowerLetter"/>
      <w:start w:val="2"/>
    </w:lvl>
  </w:abstractNum>
  <w:abstractNum w:abstractNumId="88">
    <w:nsid w:val="23D86AAC"/>
    <w:multiLevelType w:val="hybridMultilevel"/>
    <w:lvl w:ilvl="0">
      <w:lvlJc w:val="left"/>
      <w:lvlText w:val="(%1)"/>
      <w:numFmt w:val="lowerRoman"/>
      <w:start w:val="1"/>
    </w:lvl>
  </w:abstractNum>
  <w:abstractNum w:abstractNumId="89">
    <w:nsid w:val="45E6D486"/>
    <w:multiLevelType w:val="hybridMultilevel"/>
    <w:lvl w:ilvl="0">
      <w:lvlJc w:val="left"/>
      <w:lvlText w:val="(%1)"/>
      <w:numFmt w:val="lowerRoman"/>
      <w:start w:val="2"/>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1)"/>
      <w:numFmt w:val="lowerLetter"/>
      <w:start w:val="1"/>
    </w:lvl>
  </w:abstractNum>
  <w:abstractNum w:abstractNumId="92">
    <w:nsid w:val="3C5991AA"/>
    <w:multiLevelType w:val="hybridMultilevel"/>
    <w:lvl w:ilvl="0">
      <w:lvlJc w:val="left"/>
      <w:lvlText w:val="(%1)"/>
      <w:numFmt w:val="lowerLetter"/>
      <w:start w:val="3"/>
    </w:lvl>
    <w:lvl w:ilvl="1">
      <w:lvlJc w:val="left"/>
      <w:lvlText w:val="(%2)"/>
      <w:numFmt w:val="decimal"/>
      <w:start w:val="2"/>
    </w:lvl>
  </w:abstractNum>
  <w:abstractNum w:abstractNumId="93">
    <w:nsid w:val="4BD8591A"/>
    <w:multiLevelType w:val="hybridMultilevel"/>
    <w:lvl w:ilvl="0">
      <w:lvlJc w:val="left"/>
      <w:lvlText w:val="%1"/>
      <w:numFmt w:val="lowerLetter"/>
      <w:start w:val="1"/>
    </w:lvl>
    <w:lvl w:ilvl="1">
      <w:lvlJc w:val="left"/>
      <w:lvlText w:val="(%2)"/>
      <w:numFmt w:val="decimal"/>
      <w:start w:val="1"/>
    </w:lvl>
  </w:abstractNum>
  <w:abstractNum w:abstractNumId="94">
    <w:nsid w:val="78DF6A55"/>
    <w:multiLevelType w:val="hybridMultilevel"/>
    <w:lvl w:ilvl="0">
      <w:lvlJc w:val="left"/>
      <w:lvlText w:val="(%1)"/>
      <w:numFmt w:val="lowerLetter"/>
      <w:start w:val="5"/>
    </w:lvl>
    <w:lvl w:ilvl="1">
      <w:lvlJc w:val="left"/>
      <w:lvlText w:val="%2"/>
      <w:numFmt w:val="decimal"/>
      <w:start w:val="1"/>
    </w:lvl>
  </w:abstractNum>
  <w:abstractNum w:abstractNumId="95">
    <w:nsid w:val="39B7AAA2"/>
    <w:multiLevelType w:val="hybridMultilevel"/>
    <w:lvl w:ilvl="0">
      <w:lvlJc w:val="left"/>
      <w:lvlText w:val="(%1)"/>
      <w:numFmt w:val="lowerLetter"/>
      <w:start w:val="7"/>
    </w:lvl>
  </w:abstractNum>
  <w:abstractNum w:abstractNumId="96">
    <w:nsid w:val="2B0D8DBE"/>
    <w:multiLevelType w:val="hybridMultilevel"/>
    <w:lvl w:ilvl="0">
      <w:lvlJc w:val="left"/>
      <w:lvlText w:val="*"/>
      <w:numFmt w:val="bullet"/>
      <w:start w:val="1"/>
    </w:lvl>
  </w:abstractNum>
  <w:abstractNum w:abstractNumId="97">
    <w:nsid w:val="6C80EC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379E21B5"/>
    <w:multiLevelType w:val="hybridMultilevel"/>
    <w:lvl w:ilvl="0">
      <w:lvlJc w:val="left"/>
      <w:lvlText w:val="%1"/>
      <w:numFmt w:val="decimal"/>
      <w:start w:val="1"/>
    </w:lvl>
    <w:lvl w:ilvl="1">
      <w:lvlJc w:val="left"/>
      <w:lvlText w:val="(%2)"/>
      <w:numFmt w:val="lowerRoman"/>
      <w:start w:val="1"/>
    </w:lvl>
  </w:abstractNum>
  <w:abstractNum w:abstractNumId="99">
    <w:nsid w:val="69E373"/>
    <w:multiLevelType w:val="hybridMultilevel"/>
    <w:lvl w:ilvl="0">
      <w:lvlJc w:val="left"/>
      <w:lvlText w:val="(%1)"/>
      <w:numFmt w:val="decimal"/>
      <w:start w:val="5"/>
    </w:lvl>
    <w:lvl w:ilvl="1">
      <w:lvlJc w:val="left"/>
      <w:lvlText w:val="%2"/>
      <w:numFmt w:val="lowerRoman"/>
      <w:start w:val="1"/>
    </w:lvl>
  </w:abstractNum>
  <w:abstractNum w:abstractNumId="100">
    <w:nsid w:val="2C27173B"/>
    <w:multiLevelType w:val="hybridMultilevel"/>
    <w:lvl w:ilvl="0">
      <w:lvlJc w:val="left"/>
      <w:lvlText w:val="(%1)"/>
      <w:numFmt w:val="lowerLetter"/>
      <w:start w:val="2"/>
    </w:lvl>
    <w:lvl w:ilvl="1">
      <w:lvlJc w:val="left"/>
      <w:lvlText w:val="(%2)"/>
      <w:numFmt w:val="decimal"/>
      <w:start w:val="1"/>
    </w:lvl>
  </w:abstractNum>
  <w:abstractNum w:abstractNumId="101">
    <w:nsid w:val="4C9B0904"/>
    <w:multiLevelType w:val="hybridMultilevel"/>
    <w:lvl w:ilvl="0">
      <w:lvlJc w:val="left"/>
      <w:lvlText w:val="(%1)"/>
      <w:numFmt w:val="lowerLetter"/>
      <w:start w:val="1"/>
    </w:lvl>
    <w:lvl w:ilvl="1">
      <w:lvlJc w:val="left"/>
      <w:lvlText w:val="(%2)"/>
      <w:numFmt w:val="lowerLetter"/>
      <w:start w:val="9"/>
    </w:lvl>
  </w:abstractNum>
  <w:abstractNum w:abstractNumId="102">
    <w:nsid w:val="6AA7B75C"/>
    <w:multiLevelType w:val="hybridMultilevel"/>
    <w:lvl w:ilvl="0">
      <w:lvlJc w:val="left"/>
      <w:lvlText w:val="%1"/>
      <w:numFmt w:val="lowerLetter"/>
      <w:start w:val="1"/>
    </w:lvl>
    <w:lvl w:ilvl="1">
      <w:lvlJc w:val="left"/>
      <w:lvlText w:val="(%2)"/>
      <w:numFmt w:val="lowerRoman"/>
      <w:start w:val="2"/>
    </w:lvl>
  </w:abstractNum>
  <w:abstractNum w:abstractNumId="103">
    <w:nsid w:val="1DF029D3"/>
    <w:multiLevelType w:val="hybridMultilevel"/>
    <w:lvl w:ilvl="0">
      <w:lvlJc w:val="left"/>
      <w:lvlText w:val="(%1)"/>
      <w:numFmt w:val="lowerLetter"/>
      <w:start w:val="2"/>
    </w:lvl>
    <w:lvl w:ilvl="1">
      <w:lvlJc w:val="left"/>
      <w:lvlText w:val="%2"/>
      <w:numFmt w:val="lowerRoman"/>
      <w:start w:val="1"/>
    </w:lvl>
  </w:abstractNum>
  <w:abstractNum w:abstractNumId="104">
    <w:nsid w:val="5675FF36"/>
    <w:multiLevelType w:val="hybridMultilevel"/>
    <w:lvl w:ilvl="0">
      <w:lvlJc w:val="left"/>
      <w:lvlText w:val="%1"/>
      <w:numFmt w:val="lowerLetter"/>
      <w:start w:val="1"/>
    </w:lvl>
    <w:lvl w:ilvl="1">
      <w:lvlJc w:val="left"/>
      <w:lvlText w:val="(%2)"/>
      <w:numFmt w:val="lowerLetter"/>
      <w:start w:val="1"/>
    </w:lvl>
  </w:abstractNum>
  <w:abstractNum w:abstractNumId="105">
    <w:nsid w:val="3DD15094"/>
    <w:multiLevelType w:val="hybridMultilevel"/>
    <w:lvl w:ilvl="0">
      <w:lvlJc w:val="left"/>
      <w:lvlText w:val="(%1)"/>
      <w:numFmt w:val="lowerLetter"/>
      <w:start w:val="35"/>
    </w:lvl>
    <w:lvl w:ilvl="1">
      <w:lvlJc w:val="left"/>
      <w:lvlText w:val="(%2)"/>
      <w:numFmt w:val="lowerLetter"/>
      <w:start w:val="2"/>
    </w:lvl>
  </w:abstractNum>
  <w:abstractNum w:abstractNumId="106">
    <w:nsid w:val="3DB012B3"/>
    <w:multiLevelType w:val="hybridMultilevel"/>
    <w:lvl w:ilvl="0">
      <w:lvlJc w:val="left"/>
      <w:lvlText w:val="(%1)"/>
      <w:numFmt w:val="lowerLetter"/>
      <w:start w:val="3"/>
    </w:lvl>
    <w:lvl w:ilvl="1">
      <w:lvlJc w:val="left"/>
      <w:lvlText w:val="(%2)"/>
      <w:numFmt w:val="lowerRoman"/>
      <w:start w:val="1"/>
    </w:lvl>
  </w:abstractNum>
  <w:abstractNum w:abstractNumId="107">
    <w:nsid w:val="2708C9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8">
    <w:nsid w:val="5B25ACE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9">
    <w:nsid w:val="175DFCF0"/>
    <w:multiLevelType w:val="hybridMultilevel"/>
    <w:lvl w:ilvl="0">
      <w:lvlJc w:val="left"/>
      <w:lvlText w:val="%1"/>
      <w:numFmt w:val="lowerLetter"/>
      <w:start w:val="1"/>
    </w:lvl>
    <w:lvl w:ilvl="1">
      <w:lvlJc w:val="left"/>
      <w:lvlText w:val="(%2)"/>
      <w:numFmt w:val="lowerRoman"/>
      <w:start w:val="3"/>
    </w:lvl>
  </w:abstractNum>
  <w:abstractNum w:abstractNumId="110">
    <w:nsid w:val="4F97E3E4"/>
    <w:multiLevelType w:val="hybridMultilevel"/>
    <w:lvl w:ilvl="0">
      <w:lvlJc w:val="left"/>
      <w:lvlText w:val="(%1)"/>
      <w:numFmt w:val="lowerLetter"/>
      <w:start w:val="2"/>
    </w:lvl>
    <w:lvl w:ilvl="1">
      <w:lvlJc w:val="left"/>
      <w:lvlText w:val="%2"/>
      <w:numFmt w:val="lowerRoman"/>
      <w:start w:val="1"/>
    </w:lvl>
  </w:abstractNum>
  <w:abstractNum w:abstractNumId="111">
    <w:nsid w:val="53B0A9E"/>
    <w:multiLevelType w:val="hybridMultilevel"/>
    <w:lvl w:ilvl="0">
      <w:lvlJc w:val="left"/>
      <w:lvlText w:val="(%1)"/>
      <w:numFmt w:val="lowerLetter"/>
      <w:start w:val="1"/>
    </w:lvl>
  </w:abstractNum>
  <w:abstractNum w:abstractNumId="112">
    <w:nsid w:val="34FD6B4F"/>
    <w:multiLevelType w:val="hybridMultilevel"/>
    <w:lvl w:ilvl="0">
      <w:lvlJc w:val="left"/>
      <w:lvlText w:val="%1"/>
      <w:numFmt w:val="upperLetter"/>
      <w:start w:val="1"/>
    </w:lvl>
    <w:lvl w:ilvl="1">
      <w:lvlJc w:val="left"/>
      <w:lvlText w:val="(%2)"/>
      <w:numFmt w:val="lowerLetter"/>
      <w:start w:val="4"/>
    </w:lvl>
  </w:abstractNum>
  <w:abstractNum w:abstractNumId="113">
    <w:nsid w:val="5915FF32"/>
    <w:multiLevelType w:val="hybridMultilevel"/>
    <w:lvl w:ilvl="0">
      <w:lvlJc w:val="left"/>
      <w:lvlText w:val="(%1)"/>
      <w:numFmt w:val="upperLetter"/>
      <w:start w:val="4"/>
    </w:lvl>
    <w:lvl w:ilvl="1">
      <w:lvlJc w:val="left"/>
      <w:lvlText w:val="(%2)"/>
      <w:numFmt w:val="lowerLetter"/>
      <w:start w:val="5"/>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4"/>
    </w:lvl>
    <w:lvl w:ilvl="1">
      <w:lvlJc w:val="left"/>
      <w:lvlText w:val="(%2)"/>
      <w:numFmt w:val="lowerRoman"/>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lowerLetter"/>
      <w:start w:val="1"/>
    </w:lvl>
    <w:lvl w:ilvl="1">
      <w:lvlJc w:val="left"/>
      <w:lvlText w:val="(%2)"/>
      <w:numFmt w:val="lowerRoman"/>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Letter"/>
      <w:start w:val="2"/>
    </w:lvl>
  </w:abstractNum>
  <w:abstractNum w:abstractNumId="121">
    <w:nsid w:val="2A082C70"/>
    <w:multiLevelType w:val="hybridMultilevel"/>
    <w:lvl w:ilvl="0">
      <w:lvlJc w:val="left"/>
      <w:lvlText w:val="(%1)"/>
      <w:numFmt w:val="lowerLetter"/>
      <w:start w:val="1"/>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lowerLetter"/>
      <w:start w:val="3"/>
    </w:lvl>
  </w:abstractNum>
  <w:abstractNum w:abstractNumId="124">
    <w:nsid w:val="75E0858A"/>
    <w:multiLevelType w:val="hybridMultilevel"/>
    <w:lvl w:ilvl="0">
      <w:lvlJc w:val="left"/>
      <w:lvlText w:val="(%1)"/>
      <w:numFmt w:val="lowerLetter"/>
      <w:start w:val="1"/>
    </w:lvl>
    <w:lvl w:ilvl="1">
      <w:lvlJc w:val="left"/>
      <w:lvlText w:val="(%2)"/>
      <w:numFmt w:val="lowerRoman"/>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2"/>
    </w:lvl>
  </w:abstractNum>
  <w:abstractNum w:abstractNumId="127">
    <w:nsid w:val="20EE1348"/>
    <w:multiLevelType w:val="hybridMultilevel"/>
    <w:lvl w:ilvl="0">
      <w:lvlJc w:val="left"/>
      <w:lvlText w:val="%1."/>
      <w:numFmt w:val="decimal"/>
      <w:start w:val="3"/>
    </w:lvl>
  </w:abstractNum>
  <w:abstractNum w:abstractNumId="128">
    <w:nsid w:val="4427069A"/>
    <w:multiLevelType w:val="hybridMultilevel"/>
    <w:lvl w:ilvl="0">
      <w:lvlJc w:val="left"/>
      <w:lvlText w:val="%1."/>
      <w:numFmt w:val="decimal"/>
      <w:start w:val="4"/>
    </w:lvl>
  </w:abstractNum>
  <w:abstractNum w:abstractNumId="129">
    <w:nsid w:val="B37E80A"/>
    <w:multiLevelType w:val="hybridMultilevel"/>
    <w:lvl w:ilvl="0">
      <w:lvlJc w:val="left"/>
      <w:lvlText w:val="%1."/>
      <w:numFmt w:val="decimal"/>
      <w:start w:val="5"/>
    </w:lvl>
  </w:abstractNum>
  <w:abstractNum w:abstractNumId="130">
    <w:nsid w:val="2157F6BC"/>
    <w:multiLevelType w:val="hybridMultilevel"/>
    <w:lvl w:ilvl="0">
      <w:lvlJc w:val="left"/>
      <w:lvlText w:val="%1."/>
      <w:numFmt w:val="decimal"/>
      <w:start w:val="6"/>
    </w:lvl>
  </w:abstractNum>
  <w:abstractNum w:abstractNumId="131">
    <w:nsid w:val="704E1DD5"/>
    <w:multiLevelType w:val="hybridMultilevel"/>
    <w:lvl w:ilvl="0">
      <w:lvlJc w:val="left"/>
      <w:lvlText w:val="%1."/>
      <w:numFmt w:val="decimal"/>
      <w:start w:val="7"/>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3"/>
    </w:lvl>
  </w:abstractNum>
  <w:abstractNum w:abstractNumId="134">
    <w:nsid w:val="E3E47A8"/>
    <w:multiLevelType w:val="hybridMultilevel"/>
    <w:lvl w:ilvl="0">
      <w:lvlJc w:val="left"/>
      <w:lvlText w:val="%1."/>
      <w:numFmt w:val="decimal"/>
      <w:start w:val="6"/>
    </w:lvl>
    <w:lvl w:ilvl="1">
      <w:lvlJc w:val="left"/>
      <w:lvlText w:val="(%2)"/>
      <w:numFmt w:val="lowerLetter"/>
      <w:start w:val="1"/>
    </w:lvl>
  </w:abstractNum>
  <w:abstractNum w:abstractNumId="135">
    <w:nsid w:val="2E48F04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2021-11-09T05:21:35Z</dcterms:created>
  <dcterms:modified xsi:type="dcterms:W3CDTF">2021-11-09T05:21:35Z</dcterms:modified>
</cp:coreProperties>
</file>